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02714830"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007510C5" w:rsidRPr="007510C5">
        <w:rPr>
          <w:lang w:val="en-US"/>
        </w:rPr>
        <w:t>R1-1900758</w:t>
      </w:r>
    </w:p>
    <w:p w14:paraId="3F16E870" w14:textId="165267C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r w:rsidR="00C21202">
        <w:rPr>
          <w:lang w:val="en-US"/>
        </w:rPr>
        <w:t>January</w:t>
      </w:r>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6A913D31" w:rsidR="00904CFD" w:rsidRPr="00561DAC" w:rsidRDefault="00904CFD" w:rsidP="00904CFD">
      <w:pPr>
        <w:pStyle w:val="3GPPHeader"/>
      </w:pPr>
      <w:r w:rsidRPr="00327997">
        <w:t>Title:</w:t>
      </w:r>
      <w:r w:rsidRPr="00327997">
        <w:tab/>
      </w:r>
      <w:r w:rsidR="00AD5FA7">
        <w:rPr>
          <w:lang w:val="en-US" w:eastAsia="x-none"/>
        </w:rPr>
        <w:t>On UE-side cross-link interference measurement and reporting</w:t>
      </w:r>
    </w:p>
    <w:p w14:paraId="00EFAC0D" w14:textId="649D5228" w:rsidR="00904CFD" w:rsidRPr="00B91755" w:rsidRDefault="00904CFD" w:rsidP="00904CFD">
      <w:pPr>
        <w:pStyle w:val="3GPPHeader"/>
        <w:rPr>
          <w:lang w:val="en-US"/>
        </w:rPr>
      </w:pPr>
      <w:r w:rsidRPr="00561DAC">
        <w:rPr>
          <w:lang w:val="en-US"/>
        </w:rPr>
        <w:t>Agenda Item:</w:t>
      </w:r>
      <w:r w:rsidRPr="00561DAC">
        <w:rPr>
          <w:lang w:val="en-US"/>
        </w:rPr>
        <w:tab/>
      </w:r>
      <w:r w:rsidR="00AD5FA7">
        <w:rPr>
          <w:lang w:val="en-US"/>
        </w:rPr>
        <w:t>7.2.5.1</w:t>
      </w:r>
    </w:p>
    <w:p w14:paraId="05A826A0" w14:textId="30EC42A2" w:rsidR="00904CFD" w:rsidRDefault="00904CFD" w:rsidP="00904CFD">
      <w:pPr>
        <w:pStyle w:val="3GPPHeader"/>
      </w:pPr>
      <w:r w:rsidRPr="00327997">
        <w:t>Document for:</w:t>
      </w:r>
      <w:r w:rsidRPr="00327997">
        <w:tab/>
      </w:r>
      <w:r>
        <w:t>Discussion and</w:t>
      </w:r>
      <w:r w:rsidRPr="009C6832">
        <w:t xml:space="preserve"> Decision</w:t>
      </w:r>
    </w:p>
    <w:p w14:paraId="72C50C9A" w14:textId="0C81624A" w:rsidR="00C42BF1" w:rsidRDefault="00C42BF1" w:rsidP="00904CFD">
      <w:pPr>
        <w:pStyle w:val="3GPPHeader"/>
      </w:pPr>
    </w:p>
    <w:p w14:paraId="72B2365A" w14:textId="77777777" w:rsidR="00E90E49" w:rsidRPr="00CE0424" w:rsidRDefault="007F75D5" w:rsidP="00CE0424">
      <w:pPr>
        <w:pStyle w:val="Heading1"/>
      </w:pPr>
      <w:r>
        <w:t>Introduction</w:t>
      </w:r>
    </w:p>
    <w:p w14:paraId="46A6BAD4" w14:textId="34531EBB" w:rsidR="00E74601" w:rsidRDefault="00E74601" w:rsidP="0005092A">
      <w:pPr>
        <w:pStyle w:val="BodyText"/>
        <w:spacing w:before="240"/>
      </w:pPr>
      <w:r>
        <w:t xml:space="preserve">During the Rel-14 NR SI and subsequent Rel-15 WI, flexible duplexing in general and dynamic TDD in particular was studied, and Rel-15 NR supports flexible frame structure which enables both </w:t>
      </w:r>
      <w:r w:rsidR="00003362">
        <w:t>semi-</w:t>
      </w:r>
      <w:r>
        <w:t xml:space="preserve">static and dynamic TDD operation. In the context of </w:t>
      </w:r>
      <w:r w:rsidR="00003362">
        <w:t xml:space="preserve">both </w:t>
      </w:r>
      <w:r>
        <w:t>dynamic TDD</w:t>
      </w:r>
      <w:r w:rsidR="00003362">
        <w:t xml:space="preserve"> as well as semi-static TDD with misaligned TDD configurations between neighbouring cells</w:t>
      </w:r>
      <w:r>
        <w:t xml:space="preserve">, </w:t>
      </w:r>
      <w:r w:rsidR="00003362">
        <w:t>cross-link interference (CLI) can occur. How to mitigate or avoid such CLI was studied in previous releases and various schemes was enumerated in [2]. Certain CLI mitigation schemes require UE-side CLI measurements as input and the introduction of such measurements was also discussed in Rel-15. However, the work on flexible duplex and CLI measurements was downprioritized by the RAN plenary in 2017 and scoped out of the NR WI.</w:t>
      </w:r>
    </w:p>
    <w:p w14:paraId="22E109AD" w14:textId="3D04CEE1" w:rsidR="0005092A" w:rsidRDefault="00003362" w:rsidP="0005092A">
      <w:pPr>
        <w:pStyle w:val="BodyText"/>
        <w:spacing w:before="240"/>
      </w:pPr>
      <w:r>
        <w:t>At</w:t>
      </w:r>
      <w:r w:rsidR="00E74601">
        <w:t xml:space="preserve"> RAN#80, </w:t>
      </w:r>
      <w:r>
        <w:t>a</w:t>
      </w:r>
      <w:r w:rsidR="00E74601">
        <w:t xml:space="preserve"> WI on CLI and RIM was approved. Furthermore, at</w:t>
      </w:r>
      <w:r>
        <w:t xml:space="preserve">, RAN#82, the WID [1] was updated and </w:t>
      </w:r>
      <w:r w:rsidR="00D95CE1">
        <w:t>contain</w:t>
      </w:r>
      <w:r w:rsidR="00CC42FC">
        <w:t xml:space="preserve"> the following objectives:</w:t>
      </w:r>
    </w:p>
    <w:p w14:paraId="4EEBBEFA" w14:textId="77777777" w:rsidR="00E74601" w:rsidRDefault="00E74601" w:rsidP="00CC42FC">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450A5769" w14:textId="77777777" w:rsidR="00E74601" w:rsidRPr="00E74601" w:rsidRDefault="00E74601" w:rsidP="00C21202">
      <w:pPr>
        <w:numPr>
          <w:ilvl w:val="0"/>
          <w:numId w:val="14"/>
        </w:numPr>
        <w:tabs>
          <w:tab w:val="clear" w:pos="720"/>
          <w:tab w:val="num" w:pos="1080"/>
        </w:tabs>
        <w:spacing w:after="0"/>
        <w:ind w:left="1080"/>
        <w:jc w:val="left"/>
        <w:textAlignment w:val="auto"/>
        <w:rPr>
          <w:highlight w:val="cyan"/>
          <w:lang w:eastAsia="en-US"/>
        </w:rPr>
      </w:pPr>
      <w:r w:rsidRPr="00E74601">
        <w:rPr>
          <w:highlight w:val="cyan"/>
        </w:rPr>
        <w:t xml:space="preserve">Specify cross-link interference measurements and reporting at a UE (e.g., CLI-RSSI and/or CLI-RSRP) [RAN1, RAN2, RAN4] </w:t>
      </w:r>
    </w:p>
    <w:p w14:paraId="38C821C6" w14:textId="77777777" w:rsidR="00E74601" w:rsidRDefault="00E74601" w:rsidP="00C21202">
      <w:pPr>
        <w:numPr>
          <w:ilvl w:val="0"/>
          <w:numId w:val="14"/>
        </w:numPr>
        <w:tabs>
          <w:tab w:val="clear" w:pos="720"/>
          <w:tab w:val="num" w:pos="1080"/>
        </w:tabs>
        <w:spacing w:after="0"/>
        <w:ind w:left="1080"/>
        <w:jc w:val="left"/>
        <w:textAlignment w:val="auto"/>
      </w:pPr>
      <w:r>
        <w:t>Specify network coordination mechanism(s) including at least exchange of intended DL/UL configuration [RAN1, RAN3]</w:t>
      </w:r>
    </w:p>
    <w:p w14:paraId="70C47F78" w14:textId="77777777" w:rsidR="00E74601" w:rsidRDefault="00E74601" w:rsidP="00C21202">
      <w:pPr>
        <w:numPr>
          <w:ilvl w:val="0"/>
          <w:numId w:val="14"/>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3D5B16EE" w14:textId="77777777" w:rsidR="00E74601" w:rsidRDefault="00E74601" w:rsidP="00C21202">
      <w:pPr>
        <w:numPr>
          <w:ilvl w:val="1"/>
          <w:numId w:val="14"/>
        </w:numPr>
        <w:tabs>
          <w:tab w:val="clear" w:pos="1440"/>
          <w:tab w:val="num" w:pos="1800"/>
        </w:tabs>
        <w:spacing w:after="0"/>
        <w:ind w:left="1800"/>
        <w:jc w:val="left"/>
        <w:textAlignment w:val="auto"/>
      </w:pPr>
      <w:r>
        <w:t>Target no or very minimal impact on RF requirement</w:t>
      </w:r>
    </w:p>
    <w:p w14:paraId="0374A845" w14:textId="77777777" w:rsidR="00E74601" w:rsidRDefault="00E74601" w:rsidP="00CC42FC">
      <w:pPr>
        <w:spacing w:after="0"/>
        <w:ind w:left="360"/>
        <w:rPr>
          <w:lang w:eastAsia="ko-KR"/>
        </w:rPr>
      </w:pPr>
      <w:r>
        <w:rPr>
          <w:lang w:eastAsia="ko-KR"/>
        </w:rPr>
        <w:t xml:space="preserve">Note: Measurement and coordination mechanisms should be applicable to IAB nodes. </w:t>
      </w:r>
    </w:p>
    <w:p w14:paraId="1204BEA7" w14:textId="28D7127A" w:rsidR="00E74601" w:rsidRDefault="00CC42FC" w:rsidP="0005092A">
      <w:pPr>
        <w:pStyle w:val="BodyText"/>
        <w:spacing w:before="240"/>
      </w:pPr>
      <w:r>
        <w:t>In this paper, we discuss solutions for UE-side cross-link interference measurement and reporting.</w:t>
      </w:r>
    </w:p>
    <w:p w14:paraId="114E13ED" w14:textId="3224373D" w:rsidR="00003362" w:rsidRDefault="00003362" w:rsidP="0005092A">
      <w:pPr>
        <w:pStyle w:val="BodyText"/>
        <w:spacing w:before="240"/>
      </w:pPr>
      <w:r>
        <w:t>We note that although some agreement</w:t>
      </w:r>
      <w:r w:rsidR="00CC42FC">
        <w:t xml:space="preserve">s on CLI was made in the Rel-15 work prior to the downprioritization, </w:t>
      </w:r>
      <w:r w:rsidR="00C21202">
        <w:t xml:space="preserve">these do not restrict the Rel-16 work which starts from a “clean slate”. </w:t>
      </w:r>
    </w:p>
    <w:p w14:paraId="27D6D616" w14:textId="43D0663B" w:rsidR="00CC42FC" w:rsidRDefault="00CC42FC" w:rsidP="00517215">
      <w:pPr>
        <w:pStyle w:val="Observation"/>
      </w:pPr>
      <w:bookmarkStart w:id="0" w:name="_Toc534997502"/>
      <w:r w:rsidRPr="00517215">
        <w:t>Any agreements reached on CLI measurements in the downprioritized 2017 work was made in context to an under-developed NR standard. Therefore, these agreements do should not carry through to Rel-16 and should be used as a starting point for discussion only.</w:t>
      </w:r>
      <w:bookmarkEnd w:id="0"/>
    </w:p>
    <w:p w14:paraId="46FE9008" w14:textId="35A0EA63" w:rsidR="00561DAC" w:rsidRDefault="00AD5FA7" w:rsidP="00561DAC">
      <w:pPr>
        <w:pStyle w:val="Heading1"/>
      </w:pPr>
      <w:r>
        <w:t>Use case for CLI measurement and reporting</w:t>
      </w:r>
    </w:p>
    <w:p w14:paraId="10C9CE7C" w14:textId="4801EA5E" w:rsidR="00763EF3" w:rsidRDefault="00D95CE1" w:rsidP="009A1BF8">
      <w:r>
        <w:t>Cross-link interference (CLI) occurs when the transmission direction</w:t>
      </w:r>
      <w:r w:rsidR="000735D1">
        <w:t>s</w:t>
      </w:r>
      <w:r>
        <w:t xml:space="preserve"> of neighbouring cells in the network </w:t>
      </w:r>
      <w:r w:rsidR="000735D1">
        <w:t xml:space="preserve">are </w:t>
      </w:r>
      <w:r>
        <w:t xml:space="preserve">not aligned, either due to the neighbouring cells applying different semi-static TDD patterns or due to the use of dynamic TDD in at least one of the neighbouring cells. </w:t>
      </w:r>
      <w:r w:rsidR="00262F9B">
        <w:t>For example, Cell A may be scheduling UL while Cell B is scheduling DL, which causes the UL transmissions of UE(s) in Cell A to interfere with the DL reception of UE(s) in Cell B (so called UE-to-UE interference). In addition, the UL reception of TRP A is interfered by the DL transmission of TRP B (so called TRP-to-TRP interference).</w:t>
      </w:r>
      <w:r w:rsidR="006717F0">
        <w:t xml:space="preserve"> This is illustrated in </w:t>
      </w:r>
      <w:r w:rsidR="006717F0">
        <w:fldChar w:fldCharType="begin"/>
      </w:r>
      <w:r w:rsidR="006717F0">
        <w:instrText xml:space="preserve"> REF _Ref534369031 \h </w:instrText>
      </w:r>
      <w:r w:rsidR="006717F0">
        <w:fldChar w:fldCharType="separate"/>
      </w:r>
      <w:r w:rsidR="001578B2">
        <w:t xml:space="preserve">Figure </w:t>
      </w:r>
      <w:r w:rsidR="001578B2">
        <w:rPr>
          <w:noProof/>
        </w:rPr>
        <w:t>1</w:t>
      </w:r>
      <w:r w:rsidR="006717F0">
        <w:fldChar w:fldCharType="end"/>
      </w:r>
      <w:r w:rsidR="006717F0">
        <w:t xml:space="preserve"> below.</w:t>
      </w:r>
      <w:r w:rsidR="00262F9B">
        <w:t xml:space="preserve"> </w:t>
      </w:r>
      <w:r w:rsidR="006717F0">
        <w:t>Such cross-link interference</w:t>
      </w:r>
      <w:r w:rsidR="00051C8D">
        <w:t xml:space="preserve"> (UE-to-UE interference or TRP-to-TRP interference)</w:t>
      </w:r>
      <w:r w:rsidR="006717F0">
        <w:t xml:space="preserve"> can potentially be significantly larger than that the conventional</w:t>
      </w:r>
      <w:r w:rsidR="000735D1">
        <w:t xml:space="preserve"> inter-cell</w:t>
      </w:r>
      <w:r w:rsidR="006717F0">
        <w:t xml:space="preserve"> (</w:t>
      </w:r>
      <w:r w:rsidR="00051C8D">
        <w:t>TRP</w:t>
      </w:r>
      <w:r w:rsidR="006717F0">
        <w:t>-to-</w:t>
      </w:r>
      <w:r w:rsidR="00051C8D">
        <w:t>UE</w:t>
      </w:r>
      <w:r w:rsidR="006717F0">
        <w:t xml:space="preserve"> or </w:t>
      </w:r>
      <w:r w:rsidR="00051C8D">
        <w:t>UE</w:t>
      </w:r>
      <w:r w:rsidR="006717F0">
        <w:t>-to-</w:t>
      </w:r>
      <w:r w:rsidR="00051C8D">
        <w:t>TRP</w:t>
      </w:r>
      <w:r w:rsidR="006717F0">
        <w:t xml:space="preserve">) interference, which risks deteriorating the </w:t>
      </w:r>
      <w:r w:rsidR="00AB2BDB">
        <w:t xml:space="preserve">network </w:t>
      </w:r>
      <w:r w:rsidR="006717F0">
        <w:t xml:space="preserve">performance. </w:t>
      </w:r>
    </w:p>
    <w:p w14:paraId="1AE6D3C8" w14:textId="77777777" w:rsidR="00763EF3" w:rsidRDefault="00763EF3" w:rsidP="00763EF3">
      <w:pPr>
        <w:keepNext/>
      </w:pPr>
      <w:r>
        <w:rPr>
          <w:noProof/>
        </w:rPr>
        <w:lastRenderedPageBreak/>
        <w:drawing>
          <wp:inline distT="0" distB="0" distL="0" distR="0" wp14:anchorId="4916A33E" wp14:editId="048159DE">
            <wp:extent cx="5935345" cy="2226945"/>
            <wp:effectExtent l="0" t="0" r="825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5345" cy="2226945"/>
                    </a:xfrm>
                    <a:prstGeom prst="rect">
                      <a:avLst/>
                    </a:prstGeom>
                    <a:noFill/>
                    <a:ln>
                      <a:noFill/>
                    </a:ln>
                  </pic:spPr>
                </pic:pic>
              </a:graphicData>
            </a:graphic>
          </wp:inline>
        </w:drawing>
      </w:r>
    </w:p>
    <w:p w14:paraId="24576DA9" w14:textId="11927A81" w:rsidR="00763EF3" w:rsidRPr="009A1BF8" w:rsidRDefault="00763EF3" w:rsidP="00A77A66">
      <w:pPr>
        <w:pStyle w:val="Caption"/>
      </w:pPr>
      <w:bookmarkStart w:id="1" w:name="_Ref534369031"/>
      <w:r>
        <w:t xml:space="preserve">Figure </w:t>
      </w:r>
      <w:r>
        <w:fldChar w:fldCharType="begin"/>
      </w:r>
      <w:r>
        <w:instrText xml:space="preserve"> SEQ Figure \* ARABIC </w:instrText>
      </w:r>
      <w:r>
        <w:fldChar w:fldCharType="separate"/>
      </w:r>
      <w:r w:rsidR="001578B2">
        <w:rPr>
          <w:noProof/>
        </w:rPr>
        <w:t>1</w:t>
      </w:r>
      <w:r>
        <w:fldChar w:fldCharType="end"/>
      </w:r>
      <w:bookmarkEnd w:id="1"/>
      <w:r>
        <w:t>: Illustration of cross-link interference</w:t>
      </w:r>
    </w:p>
    <w:p w14:paraId="7A0131F7" w14:textId="77777777" w:rsidR="00763EF3" w:rsidRDefault="00763EF3" w:rsidP="009A1BF8"/>
    <w:p w14:paraId="421E76A2" w14:textId="29032DCF" w:rsidR="00262F9B" w:rsidRDefault="006717F0" w:rsidP="009A1BF8">
      <w:r>
        <w:t>The higher interference level can be due to the following reasons:</w:t>
      </w:r>
    </w:p>
    <w:p w14:paraId="730658A7" w14:textId="49740B4C" w:rsidR="006717F0" w:rsidRDefault="006717F0" w:rsidP="007224E4">
      <w:pPr>
        <w:pStyle w:val="ListParagraph"/>
        <w:numPr>
          <w:ilvl w:val="0"/>
          <w:numId w:val="17"/>
        </w:numPr>
      </w:pPr>
      <w:r>
        <w:t xml:space="preserve">A larger transmission power is applied </w:t>
      </w:r>
      <w:r w:rsidR="007224E4">
        <w:t xml:space="preserve">by the </w:t>
      </w:r>
      <w:r w:rsidR="00492D24">
        <w:t xml:space="preserve">interfering </w:t>
      </w:r>
      <w:r w:rsidR="007224E4">
        <w:t xml:space="preserve">node </w:t>
      </w:r>
      <w:r>
        <w:t>than</w:t>
      </w:r>
      <w:r w:rsidR="007224E4">
        <w:t xml:space="preserve"> by the </w:t>
      </w:r>
      <w:r w:rsidR="00492D24">
        <w:t xml:space="preserve">intended </w:t>
      </w:r>
      <w:r w:rsidR="007224E4">
        <w:t>transmitting node</w:t>
      </w:r>
    </w:p>
    <w:p w14:paraId="6D340855" w14:textId="1E3283BD" w:rsidR="006717F0" w:rsidRDefault="006717F0" w:rsidP="007224E4">
      <w:pPr>
        <w:pStyle w:val="ListParagraph"/>
        <w:numPr>
          <w:ilvl w:val="0"/>
          <w:numId w:val="17"/>
        </w:numPr>
      </w:pPr>
      <w:r>
        <w:t xml:space="preserve">A more directive antenna pattern, which is also directed at the receiving node, is used by the </w:t>
      </w:r>
      <w:r w:rsidR="00492D24">
        <w:t xml:space="preserve">interfering </w:t>
      </w:r>
      <w:r>
        <w:t xml:space="preserve">node than what would have been used by </w:t>
      </w:r>
      <w:r w:rsidR="00492D24">
        <w:t xml:space="preserve">the intended </w:t>
      </w:r>
      <w:r>
        <w:t>transmitting node</w:t>
      </w:r>
    </w:p>
    <w:p w14:paraId="618CD65A" w14:textId="191F2968" w:rsidR="007224E4" w:rsidRDefault="007224E4" w:rsidP="007224E4">
      <w:pPr>
        <w:pStyle w:val="ListParagraph"/>
        <w:numPr>
          <w:ilvl w:val="0"/>
          <w:numId w:val="17"/>
        </w:numPr>
      </w:pPr>
      <w:r>
        <w:t xml:space="preserve">The path loss between the receiving node and the </w:t>
      </w:r>
      <w:r w:rsidR="00492D24">
        <w:t xml:space="preserve">interfering </w:t>
      </w:r>
      <w:r>
        <w:t xml:space="preserve">node is lower than the path loss between </w:t>
      </w:r>
      <w:r w:rsidR="00AB2BDB">
        <w:t xml:space="preserve">the </w:t>
      </w:r>
      <w:r>
        <w:t xml:space="preserve">receiving node and the </w:t>
      </w:r>
      <w:r w:rsidR="00492D24">
        <w:t xml:space="preserve">intended </w:t>
      </w:r>
      <w:r>
        <w:t>transmitting node</w:t>
      </w:r>
    </w:p>
    <w:p w14:paraId="7FCBE547" w14:textId="7C36EE66" w:rsidR="00C46718" w:rsidRDefault="007224E4" w:rsidP="007224E4">
      <w:r>
        <w:t>Typically, a TRP will employ a larger Tx power than a UE, and in a macro deployment the difference is typically around 20dB. This implies that TRP-to-TRP interference can be detrimental in such a scenario, which is why static TDD is typically utilized for macro deployments. However, in a small cell scenario</w:t>
      </w:r>
      <w:r w:rsidR="005C376B">
        <w:t>, where dynamic TDD is more useful,</w:t>
      </w:r>
      <w:r>
        <w:t xml:space="preserve"> the </w:t>
      </w:r>
      <w:r w:rsidR="00AB2BDB">
        <w:t xml:space="preserve">UE and TRP </w:t>
      </w:r>
      <w:r>
        <w:t xml:space="preserve">Tx power levels </w:t>
      </w:r>
      <w:r w:rsidR="00AB2BDB">
        <w:t>are</w:t>
      </w:r>
      <w:r w:rsidR="005C376B">
        <w:t xml:space="preserve"> typically more aligned. Thus, difference in Tx power level can be a reason for the higher interference level caused by TRP-to-TRP interference compared to UE-to-TRP </w:t>
      </w:r>
      <w:r w:rsidR="002D645A">
        <w:t>interference but</w:t>
      </w:r>
      <w:r w:rsidR="005C376B">
        <w:t xml:space="preserve"> is not the reason for a potentially increased interference level of UE-to-UE interference </w:t>
      </w:r>
      <w:r w:rsidR="00CE6E59">
        <w:t xml:space="preserve">compared to TRP-to-UE interference </w:t>
      </w:r>
      <w:r w:rsidR="005C376B">
        <w:t>since the UE Tx power is typically lower or on par with the TRP Tx power.</w:t>
      </w:r>
    </w:p>
    <w:p w14:paraId="4FD12BAF" w14:textId="20A7C6DD" w:rsidR="007224E4" w:rsidRDefault="002D645A" w:rsidP="007224E4">
      <w:r>
        <w:t>Similarly</w:t>
      </w:r>
      <w:r w:rsidR="00C46718">
        <w:t>, the beamforming capabilities is typically much larger at the TRP than at the UE, which typically is only able to transmit in an omni-directional fashion or using a few Tx chains, at least for FR1, whereas the TRP typically has many Tx chains and employs dynamic high-gain beamforming. In FR2, the UE may also capable of (analogue) beamforming and may be equipped with several antenna panels where the combination of antenna panel switching and beam switching results in a more directive and varying antenna pattern, however the beamforming capabilities is generally larger for the TRP in FR2 as well. Furthermore, the average interference level is typically not increased with improved beamforming capability if the precoder selection is distributed sufficiently equal</w:t>
      </w:r>
      <w:r w:rsidR="00763EF3">
        <w:t>. This is because even though the interference level is increased (compared to an isotropic antenna) with the beamforming gain if the receiving node is hit by the main lobe of the beam, the interference level is reduced (compared to an isotropic antenna) if the beam is directed away from the receiving node. Thus, it is not clear that difference in beamforming capabilities is a contributing factor to the potentially detrimental impact of CLI, at least in an average sense.</w:t>
      </w:r>
    </w:p>
    <w:p w14:paraId="5F84E287" w14:textId="57F907A2" w:rsidR="00763EF3" w:rsidRDefault="00763EF3" w:rsidP="007224E4">
      <w:r>
        <w:t xml:space="preserve">The most </w:t>
      </w:r>
      <w:r w:rsidR="00AB2BDB">
        <w:t xml:space="preserve">significant </w:t>
      </w:r>
      <w:r>
        <w:t>factor is thus</w:t>
      </w:r>
      <w:r w:rsidR="00105978">
        <w:t>, at least for UE-to-UE interference,</w:t>
      </w:r>
      <w:r>
        <w:t xml:space="preserve"> the difference in path loss between the cross- and </w:t>
      </w:r>
      <w:r w:rsidR="00492D24">
        <w:t>down</w:t>
      </w:r>
      <w:r>
        <w:t xml:space="preserve">link directions. </w:t>
      </w:r>
      <w:r w:rsidR="00105978">
        <w:t xml:space="preserve">In the </w:t>
      </w:r>
      <w:r w:rsidR="00492D24">
        <w:t>downlink</w:t>
      </w:r>
      <w:r w:rsidR="00105978">
        <w:t xml:space="preserve"> direction, the UE is connected to the cell from which it experiences the lowest path loss among the set of neighbouring cells. Thus, any TRP-to-UE interference link should typically be lower than the link </w:t>
      </w:r>
      <w:r w:rsidR="00492D24">
        <w:t xml:space="preserve">from </w:t>
      </w:r>
      <w:r w:rsidR="00105978">
        <w:t>the serving TRP</w:t>
      </w:r>
      <w:r w:rsidR="00492D24">
        <w:t xml:space="preserve"> to the UE</w:t>
      </w:r>
      <w:r w:rsidR="00105978">
        <w:t>. However, in the UE-to-UE interference case, some neighbouring cell aggressor UEs, at least for victim UEs on the cell edge, may be located in very close proximity to the victim UE</w:t>
      </w:r>
      <w:r w:rsidR="00475296">
        <w:t xml:space="preserve"> (i.e. “near-far” </w:t>
      </w:r>
      <w:r w:rsidR="0016384B">
        <w:t>effect</w:t>
      </w:r>
      <w:r w:rsidR="00475296">
        <w:t>)</w:t>
      </w:r>
      <w:r w:rsidR="00105978">
        <w:t xml:space="preserve">. Therefore, the link between victim UE and aggressor UE may be much stronger than the corresponding TRP-to-UE interference link and even much stronger than the link </w:t>
      </w:r>
      <w:r w:rsidR="00AB2BDB">
        <w:t xml:space="preserve">between </w:t>
      </w:r>
      <w:r w:rsidR="00105978">
        <w:t>the victim UE</w:t>
      </w:r>
      <w:r w:rsidR="00AB2BDB">
        <w:t xml:space="preserve"> and its</w:t>
      </w:r>
      <w:r w:rsidR="00105978">
        <w:t xml:space="preserve"> serving </w:t>
      </w:r>
      <w:proofErr w:type="gramStart"/>
      <w:r w:rsidR="00105978">
        <w:t>TRP</w:t>
      </w:r>
      <w:r w:rsidR="00475296">
        <w:t>(</w:t>
      </w:r>
      <w:proofErr w:type="gramEnd"/>
      <w:r w:rsidR="00475296">
        <w:t>the difference in path loss would also have to overcome the difference in TRP/UE Tx power)</w:t>
      </w:r>
      <w:r w:rsidR="00105978">
        <w:t>. Note that this is typically only true for some neighbouring</w:t>
      </w:r>
      <w:r w:rsidR="00475296">
        <w:t xml:space="preserve"> cell UEs. For most aggressor-victim UE combinations, the UE-to-</w:t>
      </w:r>
      <w:r w:rsidR="00475296">
        <w:lastRenderedPageBreak/>
        <w:t>UE interference will be lower than the corresponding TRP-to-UE interference and it is likely that many UE’s will not have an</w:t>
      </w:r>
      <w:r w:rsidR="00AB2BDB">
        <w:t>y</w:t>
      </w:r>
      <w:r w:rsidR="00475296">
        <w:t xml:space="preserve"> issue</w:t>
      </w:r>
      <w:r w:rsidR="00AB2BDB">
        <w:t>s</w:t>
      </w:r>
      <w:r w:rsidR="00475296">
        <w:t xml:space="preserve"> with CLI.</w:t>
      </w:r>
    </w:p>
    <w:p w14:paraId="7C8906E4" w14:textId="01C6F20B" w:rsidR="00475296" w:rsidRDefault="00475296" w:rsidP="00475296">
      <w:pPr>
        <w:pStyle w:val="Observation"/>
      </w:pPr>
      <w:bookmarkStart w:id="2" w:name="_Toc534997503"/>
      <w:r>
        <w:t xml:space="preserve">UE-to-UE interference can potentially be detrimental for </w:t>
      </w:r>
      <w:r w:rsidR="00363B5D">
        <w:t xml:space="preserve">a </w:t>
      </w:r>
      <w:r>
        <w:t xml:space="preserve">victim UE if </w:t>
      </w:r>
      <w:r w:rsidR="0016384B">
        <w:t>some neighbouring aggressor UE</w:t>
      </w:r>
      <w:r w:rsidR="00363B5D">
        <w:t>s</w:t>
      </w:r>
      <w:r w:rsidR="0016384B">
        <w:t xml:space="preserve"> </w:t>
      </w:r>
      <w:r w:rsidR="00363B5D">
        <w:t xml:space="preserve">are </w:t>
      </w:r>
      <w:r w:rsidR="0016384B">
        <w:t>in close proximity to the victim UE, due to near-far effect</w:t>
      </w:r>
      <w:bookmarkEnd w:id="2"/>
    </w:p>
    <w:p w14:paraId="55B625BD" w14:textId="0D0B1380" w:rsidR="00ED0270" w:rsidRDefault="00D95CE1" w:rsidP="009A1BF8">
      <w:r>
        <w:t xml:space="preserve">As stated earlier, the purpose of conducting </w:t>
      </w:r>
      <w:r w:rsidR="0016384B">
        <w:t xml:space="preserve">UE-to-UE </w:t>
      </w:r>
      <w:r w:rsidR="009A1BF8">
        <w:t xml:space="preserve">CLI measurements </w:t>
      </w:r>
      <w:r>
        <w:t>is to aid</w:t>
      </w:r>
      <w:r w:rsidR="0016384B">
        <w:t xml:space="preserve"> the TRP in applying a CLI mitigation scheme. </w:t>
      </w:r>
      <w:r w:rsidR="00DA4203">
        <w:t xml:space="preserve">The CLI mitigation schemes that can be aided by this in our understanding are based on either </w:t>
      </w:r>
      <w:r w:rsidR="00DA4203" w:rsidRPr="00DA4203">
        <w:rPr>
          <w:i/>
        </w:rPr>
        <w:t>interference avoidance</w:t>
      </w:r>
      <w:r w:rsidR="00DA4203">
        <w:t xml:space="preserve"> or </w:t>
      </w:r>
      <w:r w:rsidR="00DA4203">
        <w:rPr>
          <w:i/>
        </w:rPr>
        <w:t>improved link adaptation</w:t>
      </w:r>
      <w:r w:rsidR="00DA4203">
        <w:t xml:space="preserve">. The interference avoidance-based techniques, can either operate on a </w:t>
      </w:r>
      <w:r w:rsidR="00DA4203" w:rsidRPr="007A2FBF">
        <w:rPr>
          <w:i/>
        </w:rPr>
        <w:t xml:space="preserve">cell/slot-level </w:t>
      </w:r>
      <w:r w:rsidR="00DA4203">
        <w:t xml:space="preserve">or on a </w:t>
      </w:r>
      <w:r w:rsidR="00DA4203" w:rsidRPr="007A2FBF">
        <w:rPr>
          <w:i/>
        </w:rPr>
        <w:t>UE-level</w:t>
      </w:r>
      <w:r w:rsidR="00DA4203">
        <w:t xml:space="preserve"> </w:t>
      </w:r>
      <w:r w:rsidR="007A2FBF">
        <w:t xml:space="preserve">(or as an intermediary, UE-group level) </w:t>
      </w:r>
      <w:r w:rsidR="00DA4203">
        <w:t>each of which require different amount of coordination between neighbouring TRPs. As only some victim-aggressor UE combinations will cause a substantially deteriorated interference level, it could be beneficial to map out the “UE-to-UE topology” between the neighbouring cells, to determine which UE-to-UE links are strong and thus should not be scheduled simultaneously</w:t>
      </w:r>
      <w:r w:rsidR="00A127F3">
        <w:t xml:space="preserve"> and correspondingly which are weak and could be scheduled simultaneously</w:t>
      </w:r>
      <w:r w:rsidR="00DA4203">
        <w:t>.</w:t>
      </w:r>
      <w:r w:rsidR="00A127F3">
        <w:t xml:space="preserve"> An example of this is illustrated in </w:t>
      </w:r>
      <w:r w:rsidR="00A127F3">
        <w:fldChar w:fldCharType="begin"/>
      </w:r>
      <w:r w:rsidR="00A127F3">
        <w:instrText xml:space="preserve"> REF _Ref534378183 \h </w:instrText>
      </w:r>
      <w:r w:rsidR="00A127F3">
        <w:fldChar w:fldCharType="separate"/>
      </w:r>
      <w:r w:rsidR="001578B2">
        <w:t xml:space="preserve">Figure </w:t>
      </w:r>
      <w:r w:rsidR="001578B2">
        <w:rPr>
          <w:noProof/>
        </w:rPr>
        <w:t>2</w:t>
      </w:r>
      <w:r w:rsidR="00A127F3">
        <w:fldChar w:fldCharType="end"/>
      </w:r>
      <w:r w:rsidR="00A127F3">
        <w:t xml:space="preserve">, where the “weak” UE-to-UE links are illustrated with blue arrows </w:t>
      </w:r>
      <w:r w:rsidR="00363B5D">
        <w:t xml:space="preserve">and </w:t>
      </w:r>
      <w:r w:rsidR="00A127F3">
        <w:t>the “strong” UE-to-UE links are illustrated with red arrows.</w:t>
      </w:r>
      <w:r w:rsidR="00545062">
        <w:t xml:space="preserve"> </w:t>
      </w:r>
    </w:p>
    <w:p w14:paraId="4B6BC2A6" w14:textId="07A6C3F9" w:rsidR="00AB2BDB" w:rsidRDefault="00AB2BDB" w:rsidP="009A1BF8">
      <w:r>
        <w:t>H</w:t>
      </w:r>
      <w:r w:rsidR="00B96616">
        <w:t>owever, mapping out such a topology require a substantial measurement effort. Measurement resources need to be coordinated between all neighbouring cells and each UE needs to be configured to measure on reference signals transmitted by all neighbouring UEs, which could possibly amount to up to hundreds of CLI measurements (per measurement round). This is very costly both in terms of configuration signalling and measurement execution. Due to mobility of both the potential aggressor and the victim UE</w:t>
      </w:r>
      <w:r w:rsidR="00363B5D">
        <w:t>s</w:t>
      </w:r>
      <w:r w:rsidR="00B96616">
        <w:t xml:space="preserve">, the life span of such UE-to-UE measurement is not expected to be very long either, resulting in significant </w:t>
      </w:r>
      <w:r w:rsidR="00ED0270">
        <w:t xml:space="preserve">overhead as resources for measurement have to be reserved and not use for PDSCH/PUSCH (note that even if e.g. SRS transmissions for other purposes can be re-used for CLI measurement, this only omits incurring additional overhead at the transmitter and not at the receiver as PDSCH cannot be received on the measurement resources). However, for static scenarios such as </w:t>
      </w:r>
      <w:r w:rsidR="00363B5D">
        <w:t>fixed wireless access (</w:t>
      </w:r>
      <w:r w:rsidR="00ED0270">
        <w:t>FWA</w:t>
      </w:r>
      <w:r w:rsidR="00363B5D">
        <w:t>)</w:t>
      </w:r>
      <w:r w:rsidR="00ED0270">
        <w:t xml:space="preserve">, UE-level measurements may be feasible. </w:t>
      </w:r>
    </w:p>
    <w:p w14:paraId="794CA6DC" w14:textId="482505F8" w:rsidR="009A1BF8" w:rsidRDefault="00ED0270" w:rsidP="009A1BF8">
      <w:r>
        <w:t xml:space="preserve">Furthermore, and perhaps more importantly, in order to utilize such UE-level CLI measurements, essentially a joint scheduler has to be applied for a cluster of neighbouring TRPs as the scheduling decisions of which victim-aggressor UE combinations to avoid need to be taken jointly among the neighbouring TRPs. Thus, to effectively utilize UE-level CLI measurements </w:t>
      </w:r>
      <w:r w:rsidR="00982668">
        <w:t>require a coordination scheme</w:t>
      </w:r>
      <w:r>
        <w:t xml:space="preserve"> with a very high implementation complexity</w:t>
      </w:r>
      <w:r w:rsidR="00982668">
        <w:t xml:space="preserve"> and it is not clear how large the benefit of such a scheme is.</w:t>
      </w:r>
      <w:r w:rsidR="00477ECC">
        <w:t xml:space="preserve"> In our companion contribution [3], we present evaluation results showing </w:t>
      </w:r>
      <w:r w:rsidR="00CB1F16">
        <w:t xml:space="preserve">that the potential performance </w:t>
      </w:r>
      <w:r w:rsidR="00477ECC">
        <w:t>gain for CLI mitigation schemes enabled by UE-level CLI measurements are limited.</w:t>
      </w:r>
    </w:p>
    <w:p w14:paraId="3395A356" w14:textId="3600A689" w:rsidR="00982668" w:rsidRPr="00DA4203" w:rsidRDefault="00982668" w:rsidP="00982668">
      <w:pPr>
        <w:pStyle w:val="Observation"/>
      </w:pPr>
      <w:bookmarkStart w:id="3" w:name="_Toc534997504"/>
      <w:r>
        <w:t xml:space="preserve">UE-level CLI measurement is associated with a large </w:t>
      </w:r>
      <w:r w:rsidR="001838EB">
        <w:t xml:space="preserve">signalling overhead and a high </w:t>
      </w:r>
      <w:r>
        <w:t xml:space="preserve">measurement </w:t>
      </w:r>
      <w:r w:rsidR="001838EB">
        <w:t>complexity,</w:t>
      </w:r>
      <w:r>
        <w:t xml:space="preserve"> and </w:t>
      </w:r>
      <w:r w:rsidR="001838EB">
        <w:t xml:space="preserve">it </w:t>
      </w:r>
      <w:r>
        <w:t>require</w:t>
      </w:r>
      <w:r w:rsidR="001838EB">
        <w:t>s</w:t>
      </w:r>
      <w:r>
        <w:t xml:space="preserve"> a complex joint scheduler implementation to be effectively utilized</w:t>
      </w:r>
      <w:bookmarkEnd w:id="3"/>
    </w:p>
    <w:p w14:paraId="078BCBA5" w14:textId="3FB3458F" w:rsidR="00DA4203" w:rsidRDefault="00DA4203" w:rsidP="009A1BF8"/>
    <w:p w14:paraId="5B805A36" w14:textId="6611AC98" w:rsidR="00A127F3" w:rsidRDefault="00A127F3" w:rsidP="009A1BF8"/>
    <w:p w14:paraId="0BC4623F" w14:textId="75A4FAA8" w:rsidR="00A127F3" w:rsidRDefault="007073E8" w:rsidP="00A127F3">
      <w:pPr>
        <w:keepNext/>
      </w:pPr>
      <w:r>
        <w:rPr>
          <w:noProof/>
        </w:rPr>
        <w:lastRenderedPageBreak/>
        <w:drawing>
          <wp:inline distT="0" distB="0" distL="0" distR="0" wp14:anchorId="63057F76" wp14:editId="32BF4BD4">
            <wp:extent cx="5943600" cy="2195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95830"/>
                    </a:xfrm>
                    <a:prstGeom prst="rect">
                      <a:avLst/>
                    </a:prstGeom>
                    <a:noFill/>
                    <a:ln>
                      <a:noFill/>
                    </a:ln>
                  </pic:spPr>
                </pic:pic>
              </a:graphicData>
            </a:graphic>
          </wp:inline>
        </w:drawing>
      </w:r>
    </w:p>
    <w:p w14:paraId="4F174166" w14:textId="52BAEF52" w:rsidR="00A127F3" w:rsidRDefault="00A127F3" w:rsidP="00A127F3">
      <w:pPr>
        <w:pStyle w:val="Caption"/>
        <w:jc w:val="both"/>
      </w:pPr>
      <w:bookmarkStart w:id="4" w:name="_Ref534378183"/>
      <w:r>
        <w:t xml:space="preserve">Figure </w:t>
      </w:r>
      <w:r>
        <w:fldChar w:fldCharType="begin"/>
      </w:r>
      <w:r>
        <w:instrText xml:space="preserve"> SEQ Figure \* ARABIC </w:instrText>
      </w:r>
      <w:r>
        <w:fldChar w:fldCharType="separate"/>
      </w:r>
      <w:r w:rsidR="001578B2">
        <w:rPr>
          <w:noProof/>
        </w:rPr>
        <w:t>2</w:t>
      </w:r>
      <w:r>
        <w:fldChar w:fldCharType="end"/>
      </w:r>
      <w:bookmarkEnd w:id="4"/>
      <w:r>
        <w:t>: Illustration of UE-to-UE topology</w:t>
      </w:r>
      <w:r w:rsidR="007073E8">
        <w:t>. Links A2-B2 and A2-B1 correspond to high CLI level while rema</w:t>
      </w:r>
      <w:r w:rsidR="00AB2BDB">
        <w:t>i</w:t>
      </w:r>
      <w:r w:rsidR="007073E8">
        <w:t>ning links correspond to low CLI level.</w:t>
      </w:r>
    </w:p>
    <w:p w14:paraId="0DC50ECC" w14:textId="1AEEBD03" w:rsidR="00982668" w:rsidRDefault="00982668" w:rsidP="00DA4203">
      <w:r>
        <w:t>On the other hand, cell/slot-level interference avoidance schemes require a less complex implementation. In these type of schemes, UE-lev</w:t>
      </w:r>
      <w:r w:rsidR="00C506C1">
        <w:t>el differentiation is not needed,</w:t>
      </w:r>
      <w:r>
        <w:t xml:space="preserve"> and </w:t>
      </w:r>
      <w:r w:rsidR="0081200F">
        <w:t xml:space="preserve">it is enough to determine that a victim UE is impacted by CLI from </w:t>
      </w:r>
      <w:r w:rsidR="0081200F">
        <w:rPr>
          <w:i/>
        </w:rPr>
        <w:t>some</w:t>
      </w:r>
      <w:r w:rsidR="0081200F">
        <w:t xml:space="preserve"> neighbouring UE</w:t>
      </w:r>
      <w:r w:rsidR="001838EB">
        <w:t>s</w:t>
      </w:r>
      <w:r w:rsidR="0081200F">
        <w:t xml:space="preserve">. For instance, </w:t>
      </w:r>
      <w:r w:rsidR="00C506C1">
        <w:t xml:space="preserve">the TRP may know that only some slots in a frame structure may be </w:t>
      </w:r>
      <w:bookmarkStart w:id="5" w:name="_Hlk534381365"/>
      <w:r w:rsidR="00C506C1">
        <w:t xml:space="preserve">susceptible </w:t>
      </w:r>
      <w:bookmarkEnd w:id="5"/>
      <w:r w:rsidR="00C506C1">
        <w:t>to CLI and may choose to not schedule the CLI-impacted UEs in these slots. Due to different TDD patterns in the adjacent cells, different slots may be susceptible to different levels of CLI and a</w:t>
      </w:r>
      <w:r w:rsidR="0081200F">
        <w:t xml:space="preserve"> victim UE </w:t>
      </w:r>
      <w:r w:rsidR="00C506C1">
        <w:t>could thus</w:t>
      </w:r>
      <w:r w:rsidR="0081200F">
        <w:t xml:space="preserve"> measure the interference level </w:t>
      </w:r>
      <w:r w:rsidR="00C506C1">
        <w:t xml:space="preserve">in different slots within the frame structure. This will give the TRP information of which slots to avoid scheduling a certain UE in. In contrast to UE-level interference avoidance, cell/slot-level interference avoidance require little measurement resources, and </w:t>
      </w:r>
      <w:r w:rsidR="001838EB">
        <w:t xml:space="preserve">it </w:t>
      </w:r>
      <w:r w:rsidR="00C506C1">
        <w:t xml:space="preserve">can be implemented locally at the TRP without the need for coordinating </w:t>
      </w:r>
      <w:r w:rsidR="00AB2BDB">
        <w:t>scheduling</w:t>
      </w:r>
      <w:r w:rsidR="00C506C1">
        <w:t xml:space="preserve"> decisions between its neighbours. </w:t>
      </w:r>
      <w:r w:rsidR="0067401E">
        <w:t>Furthermore, it may not be necessary to coordinate reference signal transmissions from UEs in neighbouring cells, it may simply be enough to perform energy measurements of the aggregate</w:t>
      </w:r>
      <w:r w:rsidR="001838EB">
        <w:t>d</w:t>
      </w:r>
      <w:r w:rsidR="0067401E">
        <w:t xml:space="preserve"> interference in a slot, e.g. capturing actual PUSCH transmissions.</w:t>
      </w:r>
    </w:p>
    <w:p w14:paraId="4F4A15CD" w14:textId="4608BCE7" w:rsidR="00C506C1" w:rsidRPr="0081200F" w:rsidRDefault="00C506C1" w:rsidP="00C506C1">
      <w:pPr>
        <w:pStyle w:val="Observation"/>
      </w:pPr>
      <w:bookmarkStart w:id="6" w:name="_Toc534997505"/>
      <w:r>
        <w:t xml:space="preserve">Cell/slot-level interference avoidance schemes does not require </w:t>
      </w:r>
      <w:r w:rsidR="00A768E5">
        <w:t>joint scheduling</w:t>
      </w:r>
      <w:r>
        <w:t xml:space="preserve"> and </w:t>
      </w:r>
      <w:r w:rsidR="00A768E5">
        <w:t xml:space="preserve">requires only </w:t>
      </w:r>
      <w:r>
        <w:t>a small amount of measurement resources</w:t>
      </w:r>
      <w:bookmarkEnd w:id="6"/>
    </w:p>
    <w:p w14:paraId="5729AFCD" w14:textId="50FB0C22" w:rsidR="00C506C1" w:rsidRDefault="00C506C1" w:rsidP="00DA4203">
      <w:r>
        <w:t xml:space="preserve">The other type of CLI mitigation mechanism that may be enabled by </w:t>
      </w:r>
      <w:r w:rsidR="0067401E">
        <w:t xml:space="preserve">UE-to-UE </w:t>
      </w:r>
      <w:r>
        <w:t>CLI measurement</w:t>
      </w:r>
      <w:r w:rsidR="0067401E">
        <w:t xml:space="preserve">s is improved link adaptation. That is, if the increased interference level due to CLI is not substantially larger than the </w:t>
      </w:r>
      <w:r w:rsidR="00EC464B">
        <w:t xml:space="preserve">conventional </w:t>
      </w:r>
      <w:r w:rsidR="006D6301">
        <w:t>inter-cell</w:t>
      </w:r>
      <w:r w:rsidR="0067401E">
        <w:t xml:space="preserve"> interference level and if it is furthermore known, the UE can still be scheduled on the resource experiencing CLI but with an appropriate MCS. Similar to interference avoidance schemes, the granularity of these type of schemes can also be on UE-level or cell/slot-level.</w:t>
      </w:r>
    </w:p>
    <w:p w14:paraId="1086939F" w14:textId="1916EEA1" w:rsidR="0067401E" w:rsidRDefault="0067401E" w:rsidP="0067401E">
      <w:pPr>
        <w:pStyle w:val="Observation"/>
      </w:pPr>
      <w:bookmarkStart w:id="7" w:name="_Toc534997506"/>
      <w:r>
        <w:t xml:space="preserve">It can be beneficial if </w:t>
      </w:r>
      <w:r w:rsidR="006D6301">
        <w:t xml:space="preserve">the </w:t>
      </w:r>
      <w:r>
        <w:t>UE-to-UE CLI measurements enable improved link adaptation</w:t>
      </w:r>
      <w:bookmarkEnd w:id="7"/>
    </w:p>
    <w:p w14:paraId="07BAD691" w14:textId="77777777" w:rsidR="0067401E" w:rsidRDefault="0067401E" w:rsidP="0067401E">
      <w:r>
        <w:t>As CLI may not only originate from neighbouring co-channel UEs but also from UEs operating on another operator’s network on an adjacent channel, it would thus be beneficial if adjacent channel interference can be captured by the CLI measurements. This can either be achieved by explicitly performing an inter-frequency measurement on the adjacent carrier, or by assuring that the CLI measurements are of such a sort that they can capture the adjacent channel leakage energy.</w:t>
      </w:r>
    </w:p>
    <w:p w14:paraId="542AB100" w14:textId="619B6FBD" w:rsidR="0067401E" w:rsidRDefault="0067401E" w:rsidP="0067401E">
      <w:pPr>
        <w:pStyle w:val="Observation"/>
      </w:pPr>
      <w:bookmarkStart w:id="8" w:name="_Toc534997507"/>
      <w:r>
        <w:t>It can be beneficial if adjacent channel CLI can be captured by the UE-to-UE CLI measurements</w:t>
      </w:r>
      <w:bookmarkEnd w:id="8"/>
      <w:r>
        <w:t xml:space="preserve">  </w:t>
      </w:r>
    </w:p>
    <w:p w14:paraId="23C853EC" w14:textId="4D75C58C" w:rsidR="00982668" w:rsidRDefault="00C506C1" w:rsidP="00DA4203">
      <w:r>
        <w:t>Based on the discussion above, we propose to focus the work in this WI to introduce CLI measurements which enable</w:t>
      </w:r>
      <w:r w:rsidR="0067401E">
        <w:t xml:space="preserve"> cell/slot-level CLI rather than UE-level measurements, especially due to the limited TU allocation for this WI</w:t>
      </w:r>
      <w:r w:rsidR="006D6301">
        <w:t>.</w:t>
      </w:r>
    </w:p>
    <w:p w14:paraId="1A17F27B" w14:textId="4B0F325F" w:rsidR="00DA4203" w:rsidRDefault="0067401E" w:rsidP="00E62AED">
      <w:pPr>
        <w:pStyle w:val="Proposal"/>
      </w:pPr>
      <w:bookmarkStart w:id="9" w:name="_Toc534997516"/>
      <w:r>
        <w:t>Focus on introducing CLI measurements which enable cell/slot-level CLI mitigation schemes</w:t>
      </w:r>
      <w:bookmarkEnd w:id="9"/>
    </w:p>
    <w:p w14:paraId="0D0903B6" w14:textId="7D129EBE" w:rsidR="00517215" w:rsidRDefault="00395C96" w:rsidP="00517215">
      <w:pPr>
        <w:pStyle w:val="Heading1"/>
      </w:pPr>
      <w:r>
        <w:lastRenderedPageBreak/>
        <w:t>Discussion on d</w:t>
      </w:r>
      <w:r w:rsidR="00E62AED">
        <w:t>ifferent types of UE-to-UE CLI measurement</w:t>
      </w:r>
    </w:p>
    <w:p w14:paraId="08F9ABA0" w14:textId="4AEBCFE5" w:rsidR="00FA38C1" w:rsidRDefault="00395C96" w:rsidP="00E62AED">
      <w:r>
        <w:t>On a high-level, a CLI measurement require</w:t>
      </w:r>
      <w:r w:rsidR="00443F68">
        <w:t>s</w:t>
      </w:r>
      <w:r>
        <w:t xml:space="preserve"> two things to be defined: an interference measurement resource (IMR) and a measurement quantity. The IMR indicates which time and frequency resources are to be used for the measurement and, if the measurement is RS-based rather than energy-based</w:t>
      </w:r>
      <w:r w:rsidR="00AB2BDB">
        <w:t>,</w:t>
      </w:r>
      <w:r>
        <w:t xml:space="preserve"> also the reference signal sequence. The measurement quantity can either be based solely on the measurement itself (e.g. “the linear average of the received power in the IMR” expressed in dBm) or, it can relate to an</w:t>
      </w:r>
      <w:r w:rsidR="00FA38C1">
        <w:t xml:space="preserve">other measurement such as a channel measurement on a channel measurement resource (CMR) (for instance SINR or CQI type of measurement). </w:t>
      </w:r>
    </w:p>
    <w:p w14:paraId="60946898" w14:textId="7E12A1B9" w:rsidR="00E62AED" w:rsidRDefault="00FA38C1" w:rsidP="00E62AED">
      <w:r>
        <w:t xml:space="preserve">In fact, the already existing CQI measurements is a </w:t>
      </w:r>
      <w:r w:rsidR="0097576F">
        <w:t xml:space="preserve">suitable </w:t>
      </w:r>
      <w:r>
        <w:t>baseline for any new UE-to-UE CLI measurement</w:t>
      </w:r>
      <w:r w:rsidR="0097576F">
        <w:t>s</w:t>
      </w:r>
      <w:r>
        <w:t xml:space="preserve">. The existing CQI measurements are based on an IMR called the CSI-IM which can either occupy a 4x1 or 2x2 RE pattern flexibly placed within a slot. The time-domain behaviour of the CSI-IM is either periodic or aperiodic (or semi-persistent) and can be used with either periodic or aperiodic (or semi-persistent) CQI report. Based on configuring different CQI reports with the same CMR but with corresponding periodic CSI-IM resources in different slots/symbols, or by triggering aperiodic CQI report with aperiodic CSI-IM in different slots/symbols, CQI reports corresponding to different UE-to-UE CLI hypotheses can be obtained. </w:t>
      </w:r>
    </w:p>
    <w:p w14:paraId="2F03158F" w14:textId="2B12BC26" w:rsidR="00FA38C1" w:rsidRDefault="00FA38C1" w:rsidP="00FA38C1">
      <w:pPr>
        <w:pStyle w:val="Observation"/>
      </w:pPr>
      <w:bookmarkStart w:id="10" w:name="_Toc534997508"/>
      <w:r>
        <w:t>Existing CQI report is a form of cell/slot-level UE-to-UE CLI measurement and should be considered the baseline scheme for any enhancement proposal</w:t>
      </w:r>
      <w:bookmarkEnd w:id="10"/>
    </w:p>
    <w:p w14:paraId="20DE3DAE" w14:textId="5ACB3A71" w:rsidR="00FA38C1" w:rsidRDefault="00764B57" w:rsidP="00E62AED">
      <w:r>
        <w:t xml:space="preserve">In previous </w:t>
      </w:r>
      <w:r w:rsidRPr="001E239C">
        <w:t>discussions on CLI measurements, RSSI measurements and</w:t>
      </w:r>
      <w:r w:rsidR="00BA165A">
        <w:t xml:space="preserve"> SRS-based RSRP measurements were considered</w:t>
      </w:r>
      <w:r w:rsidR="0097576F">
        <w:t xml:space="preserve"> and are</w:t>
      </w:r>
      <w:r w:rsidR="00BA165A">
        <w:t xml:space="preserve"> mentioned as examples in the WI objective. These can be considered candidates for the to-be introduced CLI measurements. In addition, we also consider enhanced “multi-IMR” CQI measurements as a candidate scheme. The pros and cons of the different candidates </w:t>
      </w:r>
      <w:r w:rsidR="00A1614A">
        <w:t xml:space="preserve">are </w:t>
      </w:r>
      <w:r w:rsidR="00BA165A">
        <w:t>discussed in the following.</w:t>
      </w:r>
      <w:r w:rsidR="004028B2">
        <w:t xml:space="preserve"> In our understanding, multi-IMR CQI measurements targets cell/slot-level measurement granularity while RSRP measurements target UE-level measurement granularity. RSSI measurement</w:t>
      </w:r>
      <w:r w:rsidR="00A1614A">
        <w:t>s</w:t>
      </w:r>
      <w:r w:rsidR="004028B2">
        <w:t xml:space="preserve"> can be either cell/slot-level or UE-level depending on the measurement resource definition.</w:t>
      </w:r>
    </w:p>
    <w:p w14:paraId="2A964CDB" w14:textId="4E880EDE" w:rsidR="00BA165A" w:rsidRDefault="00BA165A" w:rsidP="001E239C">
      <w:pPr>
        <w:pStyle w:val="Heading2"/>
      </w:pPr>
      <w:r>
        <w:t>Multi-IMR CQI measurement</w:t>
      </w:r>
    </w:p>
    <w:p w14:paraId="54AF32FD" w14:textId="705EEA1B" w:rsidR="00BA165A" w:rsidRDefault="00BA165A" w:rsidP="003C59FC">
      <w:r>
        <w:t>While the existing CQI measurements can capture different UE-to-UE interference hypotheses by the triggering or configuration of CSI/CQI reports with their respective CSI-IM in different slots, the flexibility is limited in Rel-15. This is due to that only a single CQI value (per codeword) is included in the CSI report and so the CSI report can only capture a single UE-to-UE interference hypothesis. If CSI corresponding to more interference hypotheses is desired, multiple CSI reports need to be obtained. This is problematic for the following reasons. First of all, the number of different CSI reports a UE can be configured with is limited by the UE capability which only allows up to 4 different CSI Report Settings per time-domain behaviour (corresponding to up to 4 different evaluated interference hypothesis</w:t>
      </w:r>
      <w:r w:rsidR="00A77A66">
        <w:t xml:space="preserve">), which may be too limiting for Rel-16. Second, utilizing multiple independent reports is wasteful both in terms of UCI overhead as well as the associated cost of triggering and/or configuring multiple CSI reports. As we are only interested </w:t>
      </w:r>
      <w:r w:rsidR="00A1614A">
        <w:t xml:space="preserve">in determining </w:t>
      </w:r>
      <w:r w:rsidR="00A77A66">
        <w:t>the difference in</w:t>
      </w:r>
      <w:r w:rsidR="00344A6E">
        <w:t xml:space="preserve"> terms of</w:t>
      </w:r>
      <w:r w:rsidR="00A77A66">
        <w:t xml:space="preserve"> interference level for the different UE-to-UE interference hypotheses, it is only necessary to compare the CQI across the different reports, i.e. the other CSI content, such as in particular the payload heavy PMI, is expected to stay the same for the different report</w:t>
      </w:r>
      <w:r w:rsidR="00344A6E">
        <w:t>s</w:t>
      </w:r>
      <w:r w:rsidR="00A77A66">
        <w:t xml:space="preserve"> and hence it is wasteful to repeat the PMI payload in each CSI report.</w:t>
      </w:r>
    </w:p>
    <w:p w14:paraId="74CEEB51" w14:textId="1557B54A" w:rsidR="00A77A66" w:rsidRPr="003C59FC" w:rsidRDefault="00A77A66" w:rsidP="001E239C">
      <w:pPr>
        <w:pStyle w:val="Observation"/>
      </w:pPr>
      <w:bookmarkStart w:id="11" w:name="_Toc534997509"/>
      <w:r>
        <w:t>Utilizing multiple Rel-15 CQI reports for UE-to-UE interference measurements suffers from CSI payload repetition and limited UE capability in supported number of configured CSI Report Settings</w:t>
      </w:r>
      <w:bookmarkEnd w:id="11"/>
    </w:p>
    <w:p w14:paraId="3BDED695" w14:textId="77777777" w:rsidR="001843F7" w:rsidRDefault="001843F7" w:rsidP="00E62AED">
      <w:r>
        <w:t>A simple enhancement to overcome these limitations in Rel-16 can be to introduce a “multi-IMR CQI” report quantity, which associates multiple CSI-IM resources (IMRs) with each NZP CSI-RS resource for channel measurement (CMR) and wherein the UE reports a separate CQI for each IMR.</w:t>
      </w:r>
    </w:p>
    <w:p w14:paraId="5A88A0E5" w14:textId="2694B898" w:rsidR="00FA3554" w:rsidRDefault="001843F7" w:rsidP="00FA3554">
      <w:r>
        <w:t xml:space="preserve">Consider the example illustrated in </w:t>
      </w:r>
      <w:r>
        <w:fldChar w:fldCharType="begin"/>
      </w:r>
      <w:r>
        <w:instrText xml:space="preserve"> REF _Ref534628513 \h </w:instrText>
      </w:r>
      <w:r>
        <w:fldChar w:fldCharType="separate"/>
      </w:r>
      <w:r w:rsidR="001578B2">
        <w:t xml:space="preserve">Figure </w:t>
      </w:r>
      <w:r w:rsidR="001578B2">
        <w:rPr>
          <w:noProof/>
        </w:rPr>
        <w:t>3</w:t>
      </w:r>
      <w:r>
        <w:fldChar w:fldCharType="end"/>
      </w:r>
      <w:r>
        <w:t xml:space="preserve">, where three neighbouring cells (Cell A, Cell B and Cell C) have different instantaneous UL/DL configurations due to dynamic TDD operation. Each slot thus experiences different CLI characteristics. A UE which is served by cell A can then be configured with a multi-IMR CQI report with three different IMRs, placed in slots 3, 5 and 6 respectively (corresponding to the different possible CLI “states” of the neighbouring cells). The UE is however only configured with a single CMR. For the CSI report, the UE determines a single PMI/RI, but a separate CQI for each configured IMR (and CW). The serving gNB can then, based on the </w:t>
      </w:r>
      <w:r>
        <w:lastRenderedPageBreak/>
        <w:t>reported CQI values, determine to only schedule the UE in some of the slots which experiences a favourable CLI situation and can furthermore directly apply the corresponding reported CQI for link adaptation in the scheduled slot.</w:t>
      </w:r>
      <w:r w:rsidR="00FA3554">
        <w:t xml:space="preserve">  As RI can be dependent on the interference level, the single set of reported RI/PMI can be conditioned on a reference CSI-IM resource, such as the first resource</w:t>
      </w:r>
      <w:r w:rsidR="00344A6E">
        <w:t xml:space="preserve"> or the resource indicated by CRI</w:t>
      </w:r>
      <w:r w:rsidR="00FA3554">
        <w:t xml:space="preserve">. </w:t>
      </w:r>
    </w:p>
    <w:p w14:paraId="26F6244C" w14:textId="0FA8D1E3" w:rsidR="00395C96" w:rsidRDefault="00395C96" w:rsidP="00E62AED"/>
    <w:p w14:paraId="36BE0392" w14:textId="329BCA9C" w:rsidR="00A77A66" w:rsidRDefault="00A77A66" w:rsidP="00E62AED"/>
    <w:p w14:paraId="4C5A414B" w14:textId="77777777" w:rsidR="00A77A66" w:rsidRDefault="00A77A66" w:rsidP="001E239C">
      <w:pPr>
        <w:keepNext/>
      </w:pPr>
      <w:r>
        <w:rPr>
          <w:noProof/>
        </w:rPr>
        <w:drawing>
          <wp:inline distT="0" distB="0" distL="0" distR="0" wp14:anchorId="2C83CC92" wp14:editId="6BF83117">
            <wp:extent cx="5938520" cy="17386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8520" cy="1738630"/>
                    </a:xfrm>
                    <a:prstGeom prst="rect">
                      <a:avLst/>
                    </a:prstGeom>
                    <a:noFill/>
                    <a:ln>
                      <a:noFill/>
                    </a:ln>
                  </pic:spPr>
                </pic:pic>
              </a:graphicData>
            </a:graphic>
          </wp:inline>
        </w:drawing>
      </w:r>
    </w:p>
    <w:p w14:paraId="1DB8A2F5" w14:textId="66641377" w:rsidR="00A77A66" w:rsidRDefault="00A77A66" w:rsidP="001E239C">
      <w:pPr>
        <w:pStyle w:val="Caption"/>
        <w:jc w:val="both"/>
      </w:pPr>
      <w:bookmarkStart w:id="12" w:name="_Ref534628513"/>
      <w:r>
        <w:t xml:space="preserve">Figure </w:t>
      </w:r>
      <w:r>
        <w:fldChar w:fldCharType="begin"/>
      </w:r>
      <w:r>
        <w:instrText xml:space="preserve"> SEQ Figure \* ARABIC </w:instrText>
      </w:r>
      <w:r>
        <w:fldChar w:fldCharType="separate"/>
      </w:r>
      <w:r w:rsidR="001578B2">
        <w:rPr>
          <w:noProof/>
        </w:rPr>
        <w:t>3</w:t>
      </w:r>
      <w:r>
        <w:fldChar w:fldCharType="end"/>
      </w:r>
      <w:bookmarkEnd w:id="12"/>
      <w:r>
        <w:t>: Illustration of multiple IMRs placed slots which experience different levels of CLI</w:t>
      </w:r>
    </w:p>
    <w:p w14:paraId="1DD78344" w14:textId="77777777" w:rsidR="00CB1F16" w:rsidRDefault="001843F7" w:rsidP="00CB1F16">
      <w:r>
        <w:t>Thus, the enhanced multi-IMR CQI report enables cell/slot-level interference avoidance CLI mitigation scheme</w:t>
      </w:r>
      <w:r w:rsidR="00477ECC">
        <w:t>s</w:t>
      </w:r>
      <w:r>
        <w:t xml:space="preserve"> as well as improved link adaptation. The spec impact is low, since the UE can already be configured with a set of CSI-IM resources for interference measurement in the Resource Setting associated with a CSI Report Setting. As the reported CQI values can be used directly for link adaptation, multi-IMR CQI has an edge over (cell/slot-level) RSSI measurements which require another mechanism to correct the link adaptation</w:t>
      </w:r>
      <w:r w:rsidR="00FA3554">
        <w:t>, therefore multi-IMR CQI is preferred for cell/slot-level measurement granularity</w:t>
      </w:r>
      <w:r w:rsidR="003F1A14">
        <w:t xml:space="preserve"> from this aspect. </w:t>
      </w:r>
    </w:p>
    <w:p w14:paraId="6C6F486C" w14:textId="4F62D6CE" w:rsidR="004F14E5" w:rsidRPr="003C59FC" w:rsidRDefault="001F15AB" w:rsidP="004F14E5">
      <w:pPr>
        <w:pStyle w:val="Observation"/>
      </w:pPr>
      <w:bookmarkStart w:id="13" w:name="_Toc534997510"/>
      <w:r>
        <w:t>A simple enhanced</w:t>
      </w:r>
      <w:r w:rsidR="004F14E5">
        <w:t xml:space="preserve"> </w:t>
      </w:r>
      <w:r>
        <w:t xml:space="preserve">multi-IMR </w:t>
      </w:r>
      <w:r w:rsidR="004F14E5">
        <w:t xml:space="preserve">CQI report </w:t>
      </w:r>
      <w:r>
        <w:t>can enable cell/slot-level</w:t>
      </w:r>
      <w:r w:rsidR="004F14E5">
        <w:t xml:space="preserve"> </w:t>
      </w:r>
      <w:r>
        <w:t>CLI</w:t>
      </w:r>
      <w:r w:rsidR="004F14E5">
        <w:t xml:space="preserve"> interference measurements</w:t>
      </w:r>
      <w:r>
        <w:t xml:space="preserve"> with </w:t>
      </w:r>
      <w:r w:rsidR="000C016A">
        <w:t>very limited</w:t>
      </w:r>
      <w:r>
        <w:t xml:space="preserve"> spec impact.</w:t>
      </w:r>
      <w:bookmarkEnd w:id="13"/>
    </w:p>
    <w:p w14:paraId="43A9442E" w14:textId="77777777" w:rsidR="003F1A14" w:rsidRDefault="003F1A14" w:rsidP="003C59FC"/>
    <w:p w14:paraId="602893B8" w14:textId="414C335E" w:rsidR="00FA3DBC" w:rsidRDefault="00FA3DBC" w:rsidP="001E239C">
      <w:pPr>
        <w:pStyle w:val="Proposal"/>
      </w:pPr>
      <w:bookmarkStart w:id="14" w:name="_Toc534997517"/>
      <w:bookmarkEnd w:id="14"/>
    </w:p>
    <w:p w14:paraId="4B30D72D" w14:textId="78179843" w:rsidR="00FA3DBC" w:rsidRPr="001E239C" w:rsidRDefault="00FA3DBC" w:rsidP="001E239C">
      <w:pPr>
        <w:pStyle w:val="ListParagraph"/>
        <w:numPr>
          <w:ilvl w:val="0"/>
          <w:numId w:val="15"/>
        </w:numPr>
        <w:rPr>
          <w:b/>
        </w:rPr>
      </w:pPr>
      <w:r w:rsidRPr="001E239C">
        <w:rPr>
          <w:b/>
        </w:rPr>
        <w:t>To enable cell/slot-level CLI mitigation schemes, introduce</w:t>
      </w:r>
      <w:r>
        <w:rPr>
          <w:b/>
        </w:rPr>
        <w:t xml:space="preserve"> a new</w:t>
      </w:r>
      <w:r w:rsidRPr="001E239C">
        <w:rPr>
          <w:b/>
        </w:rPr>
        <w:t xml:space="preserve"> </w:t>
      </w:r>
      <w:r>
        <w:rPr>
          <w:b/>
        </w:rPr>
        <w:t>“</w:t>
      </w:r>
      <w:r w:rsidRPr="001E239C">
        <w:rPr>
          <w:b/>
        </w:rPr>
        <w:t>multi-IMR CQI</w:t>
      </w:r>
      <w:r>
        <w:rPr>
          <w:b/>
        </w:rPr>
        <w:t>”</w:t>
      </w:r>
      <w:r w:rsidRPr="001E239C">
        <w:rPr>
          <w:b/>
        </w:rPr>
        <w:t xml:space="preserve"> </w:t>
      </w:r>
      <w:r>
        <w:rPr>
          <w:b/>
        </w:rPr>
        <w:t xml:space="preserve">CSI </w:t>
      </w:r>
      <w:r w:rsidRPr="001E239C">
        <w:rPr>
          <w:b/>
        </w:rPr>
        <w:t>report</w:t>
      </w:r>
      <w:r>
        <w:rPr>
          <w:b/>
        </w:rPr>
        <w:t xml:space="preserve"> quantity:</w:t>
      </w:r>
    </w:p>
    <w:p w14:paraId="3B5F8814" w14:textId="42641334" w:rsidR="00FA3DBC" w:rsidRDefault="00FA3DBC" w:rsidP="001E239C">
      <w:pPr>
        <w:pStyle w:val="ListParagraph"/>
        <w:numPr>
          <w:ilvl w:val="1"/>
          <w:numId w:val="15"/>
        </w:numPr>
        <w:rPr>
          <w:b/>
        </w:rPr>
      </w:pPr>
      <w:r>
        <w:rPr>
          <w:b/>
        </w:rPr>
        <w:t xml:space="preserve">A CSI Report Setting is linked with a Resource Setting for IM containing a CSI-IM resource set with </w:t>
      </w:r>
      <w:r w:rsidRPr="001E239C">
        <w:rPr>
          <w:b/>
          <w:i/>
        </w:rPr>
        <w:t>N</w:t>
      </w:r>
      <w:r>
        <w:rPr>
          <w:b/>
        </w:rPr>
        <w:t xml:space="preserve"> resources</w:t>
      </w:r>
    </w:p>
    <w:p w14:paraId="6747ED6A" w14:textId="51666CE9" w:rsidR="00FA3DBC" w:rsidRDefault="00FA3DBC" w:rsidP="00FA3DBC">
      <w:pPr>
        <w:pStyle w:val="ListParagraph"/>
        <w:numPr>
          <w:ilvl w:val="1"/>
          <w:numId w:val="15"/>
        </w:numPr>
        <w:rPr>
          <w:b/>
        </w:rPr>
      </w:pPr>
      <w:r>
        <w:rPr>
          <w:b/>
        </w:rPr>
        <w:t>A CSI Report Setting is linked with a Resource Setting for CM containing a NZP CSI-RS resource set with a single CSI-RS resource</w:t>
      </w:r>
    </w:p>
    <w:p w14:paraId="162F352F" w14:textId="57CD66BD" w:rsidR="00FA3DBC" w:rsidRDefault="00FA3DBC" w:rsidP="001E239C">
      <w:pPr>
        <w:pStyle w:val="ListParagraph"/>
        <w:numPr>
          <w:ilvl w:val="1"/>
          <w:numId w:val="15"/>
        </w:numPr>
        <w:rPr>
          <w:b/>
        </w:rPr>
      </w:pPr>
      <w:r>
        <w:rPr>
          <w:b/>
        </w:rPr>
        <w:t xml:space="preserve">A single PMI/RI is calculated conditioned on the single CSI-RS resource and </w:t>
      </w:r>
      <w:r w:rsidR="00344A6E">
        <w:rPr>
          <w:b/>
        </w:rPr>
        <w:t xml:space="preserve">a reference </w:t>
      </w:r>
      <w:r>
        <w:rPr>
          <w:b/>
        </w:rPr>
        <w:t>CSI-IM resource</w:t>
      </w:r>
    </w:p>
    <w:p w14:paraId="6F5ABFC2" w14:textId="605C2C2D" w:rsidR="00FA3DBC" w:rsidRPr="001E239C" w:rsidRDefault="00DC078E" w:rsidP="001E239C">
      <w:pPr>
        <w:pStyle w:val="ListParagraph"/>
        <w:numPr>
          <w:ilvl w:val="1"/>
          <w:numId w:val="15"/>
        </w:numPr>
        <w:rPr>
          <w:b/>
          <w:i/>
        </w:rPr>
      </w:pPr>
      <w:r w:rsidRPr="00BF01F0">
        <w:rPr>
          <w:b/>
        </w:rPr>
        <w:t>A</w:t>
      </w:r>
      <w:r>
        <w:rPr>
          <w:b/>
          <w:i/>
        </w:rPr>
        <w:t xml:space="preserve"> </w:t>
      </w:r>
      <w:r w:rsidR="00FA3DBC">
        <w:rPr>
          <w:b/>
        </w:rPr>
        <w:t xml:space="preserve">set of </w:t>
      </w:r>
      <w:proofErr w:type="gramStart"/>
      <w:r w:rsidRPr="001E239C">
        <w:rPr>
          <w:b/>
          <w:i/>
        </w:rPr>
        <w:t>N</w:t>
      </w:r>
      <w:proofErr w:type="gramEnd"/>
      <w:r w:rsidR="00BF01F0">
        <w:rPr>
          <w:b/>
        </w:rPr>
        <w:t xml:space="preserve"> </w:t>
      </w:r>
      <w:r w:rsidR="00FA3DBC">
        <w:rPr>
          <w:b/>
        </w:rPr>
        <w:t>CQI</w:t>
      </w:r>
      <w:r>
        <w:rPr>
          <w:b/>
        </w:rPr>
        <w:t>s</w:t>
      </w:r>
      <w:r w:rsidR="00FA3DBC">
        <w:rPr>
          <w:b/>
        </w:rPr>
        <w:t xml:space="preserve"> </w:t>
      </w:r>
      <w:r>
        <w:rPr>
          <w:b/>
        </w:rPr>
        <w:t xml:space="preserve">are </w:t>
      </w:r>
      <w:r w:rsidR="00FA3DBC">
        <w:rPr>
          <w:b/>
        </w:rPr>
        <w:t>calculated</w:t>
      </w:r>
      <w:r>
        <w:rPr>
          <w:b/>
        </w:rPr>
        <w:t>, with each CQI</w:t>
      </w:r>
      <w:r w:rsidR="00FA3DBC">
        <w:rPr>
          <w:b/>
        </w:rPr>
        <w:t xml:space="preserve"> corresponding to </w:t>
      </w:r>
      <w:r>
        <w:rPr>
          <w:b/>
        </w:rPr>
        <w:t xml:space="preserve">its associated </w:t>
      </w:r>
      <w:r w:rsidR="00FA3DBC">
        <w:rPr>
          <w:b/>
        </w:rPr>
        <w:t>CSI-IM resource</w:t>
      </w:r>
    </w:p>
    <w:p w14:paraId="3E2FEEA4" w14:textId="69EC78DC" w:rsidR="003F1A14" w:rsidRDefault="003F1A14" w:rsidP="00CB1F16">
      <w:r>
        <w:t xml:space="preserve">However, RSSI measurement have the advantage that they require very low complexity to perform for the UE compared to CQI measurements which require calculating an inverse as part of SINR calculation. RSSI measurement could also be used for instance to measure adjacent channel interference. There is also a precedent for utilizing </w:t>
      </w:r>
      <w:r w:rsidR="001578B2">
        <w:t>these simple kinds of measurements</w:t>
      </w:r>
      <w:r>
        <w:t xml:space="preserve"> for instance in LAA in order to discover hidden nodes, which </w:t>
      </w:r>
      <w:r w:rsidR="001578B2">
        <w:t>is to some degree a similar problem as probing for CLI. Therefore, it can be considered to additionally support RSSI for adjacent channel measurement (i.e. inter-frequency). Such a report does not need to be very dynamic and can be carried as an RRC measurement report.</w:t>
      </w:r>
    </w:p>
    <w:p w14:paraId="2FE58A0E" w14:textId="79AC8589" w:rsidR="001578B2" w:rsidRDefault="001578B2" w:rsidP="00CB1F16">
      <w:pPr>
        <w:pStyle w:val="Proposal"/>
      </w:pPr>
      <w:bookmarkStart w:id="15" w:name="_Toc534997518"/>
      <w:r>
        <w:t>Cell-level RSSI measurement for adjacent channel measurement with the report carried on L3 can additionally be considered</w:t>
      </w:r>
      <w:bookmarkEnd w:id="15"/>
    </w:p>
    <w:p w14:paraId="284BC5FE" w14:textId="0F676417" w:rsidR="00477ECC" w:rsidRPr="003C59FC" w:rsidRDefault="00477ECC" w:rsidP="00CB1F16"/>
    <w:p w14:paraId="7F950520" w14:textId="23BE24F7" w:rsidR="001843F7" w:rsidRDefault="004028B2" w:rsidP="001E239C">
      <w:pPr>
        <w:pStyle w:val="Heading2"/>
      </w:pPr>
      <w:r>
        <w:lastRenderedPageBreak/>
        <w:t>RSSI and RSRP measurements for UE-level differentiation</w:t>
      </w:r>
    </w:p>
    <w:p w14:paraId="316FEA01" w14:textId="77777777" w:rsidR="00FA3554" w:rsidRDefault="00FA3554" w:rsidP="003C59FC">
      <w:r>
        <w:t>If UE-level differentiation of CLI measurement is required in addition to cell/slot-level measurement granularity, RSSI or RSRP measurements can be considered. However as reasoned in Section 2, it is not clear what the utility of such measurements are considering the complex joint scheduling operation and massive measurement complexity required. In our view, the benefit CLI mitigation schemes based on measurements with UE-level differentiation, taking into account the implementation complexity and measurement overhead, needs to be proven with proper evaluations before such measurements can be agreed to be introduced.</w:t>
      </w:r>
    </w:p>
    <w:p w14:paraId="2F277826" w14:textId="4DC1B7AF" w:rsidR="004028B2" w:rsidRDefault="00FA3554" w:rsidP="001E239C">
      <w:pPr>
        <w:pStyle w:val="Proposal"/>
      </w:pPr>
      <w:bookmarkStart w:id="16" w:name="_Toc534997519"/>
      <w:r>
        <w:t>Decide if CLI measurements with UE-level differentiation is needed based on evaluations of realistic performance of UE-level granularity CLI mitigation schemes, taking into account implementation complexity and measurement overhead</w:t>
      </w:r>
      <w:bookmarkEnd w:id="16"/>
    </w:p>
    <w:p w14:paraId="46D51FE1" w14:textId="45A7A425" w:rsidR="00FA3554" w:rsidRDefault="00FA3554" w:rsidP="009A1BF8">
      <w:r>
        <w:t>If such measurement</w:t>
      </w:r>
      <w:r w:rsidR="00E779B0">
        <w:t>s</w:t>
      </w:r>
      <w:r>
        <w:t xml:space="preserve"> are deemed to be needed, as stated, SRS-RSRP measurements and RSSI </w:t>
      </w:r>
      <w:r w:rsidR="00AD3373">
        <w:t xml:space="preserve">measurements </w:t>
      </w:r>
      <w:r>
        <w:t xml:space="preserve">can be considered. </w:t>
      </w:r>
      <w:r w:rsidR="009A1BF8">
        <w:t>A</w:t>
      </w:r>
      <w:r>
        <w:t>n</w:t>
      </w:r>
      <w:r w:rsidR="009A1BF8">
        <w:t xml:space="preserve"> RSSI measurement is essentially a power measurement and therefor require little signal processing and no information about the signal to be measured.</w:t>
      </w:r>
      <w:r>
        <w:t xml:space="preserve"> This means the complexity is reduced compared to an RSRP measurement, since the UE does not have to perform correlation with the transmitted SRS sequences but can merely calculate the received power in the REs of the measurement resource. It also mean</w:t>
      </w:r>
      <w:r w:rsidR="00143862">
        <w:t>s</w:t>
      </w:r>
      <w:r>
        <w:t xml:space="preserve"> that the RSSI measurement is more general, it is able to capture interference from regular PUSCH transmission and not only a specific RS, moreover it can capture aggregate</w:t>
      </w:r>
      <w:r w:rsidR="00827F3E">
        <w:t>d</w:t>
      </w:r>
      <w:r>
        <w:t xml:space="preserve"> interference from multiple UEs and even adjacent channel interference, which may be desirable.  </w:t>
      </w:r>
    </w:p>
    <w:p w14:paraId="46E05D45" w14:textId="660CCCC5" w:rsidR="00FA3554" w:rsidRDefault="00FA3554" w:rsidP="001E239C">
      <w:pPr>
        <w:pStyle w:val="Observation"/>
      </w:pPr>
      <w:bookmarkStart w:id="17" w:name="_Toc534997511"/>
      <w:r>
        <w:t>RSSI measurements are more general than RSRP measurements and can capture both SRS and PUSCH interference as well as adjacent channel interference</w:t>
      </w:r>
      <w:bookmarkEnd w:id="17"/>
    </w:p>
    <w:p w14:paraId="6EF0F495" w14:textId="2B893A3E" w:rsidR="00FA3554" w:rsidRDefault="00FA3554" w:rsidP="00FA3554">
      <w:r>
        <w:t>The signalling load for configuring the measurement also needs to be considered. RSRP measurements require detailed information about the transmitted SRSs a UE should measure upon, such as number of symbols, comb structure and sequence used, to be sent from the gNB to the UE. Further, this information also has to be exchanged between TRPs to allow the UE to make measurements on signals from other cells. In contrast, RSSI measurements only require information about when to measure to be sent between the UE and the gNB, which may be more compactly signalled.</w:t>
      </w:r>
    </w:p>
    <w:p w14:paraId="1B696885" w14:textId="4A8C3713" w:rsidR="00FA3554" w:rsidRDefault="00FA3554" w:rsidP="00FA3554">
      <w:pPr>
        <w:pStyle w:val="Observation"/>
      </w:pPr>
      <w:bookmarkStart w:id="18" w:name="_Toc534997512"/>
      <w:r>
        <w:t>RSRP measurements require significantly more communication between gNB and UE, as well as between TRPs, compared to RSSI measurements</w:t>
      </w:r>
      <w:bookmarkEnd w:id="18"/>
    </w:p>
    <w:p w14:paraId="2D5F4941" w14:textId="46CCD08F" w:rsidR="00FA3554" w:rsidRDefault="00FA3554" w:rsidP="001E239C">
      <w:r>
        <w:t xml:space="preserve">RSRP measurements offers two advantages over RSSI measurements. Firstly, RSRP measurements are more accurate than RSSI measurements as processing gain is attained from the correlation with the conjugate of the transmitted sequence. However, in our understanding, precisely determining the interference level is not needed in order to perform CLI mitigation, </w:t>
      </w:r>
      <w:r w:rsidR="00827F3E">
        <w:t xml:space="preserve">as </w:t>
      </w:r>
      <w:r>
        <w:t>the TRP only needs to know if a victim-aggressor UE combination results in a very large CLI level or not. Secondly, RSRP measurements are able to resolve different sequences transmitted on the same time-frequency resource elements but separated with CDM (such as SRS sequences with different cyclic shifts) whereas RSSI measurements cannot. This</w:t>
      </w:r>
      <w:r w:rsidR="00ED1A00">
        <w:t xml:space="preserve"> implies that RSRP measurements</w:t>
      </w:r>
      <w:r>
        <w:t xml:space="preserve"> could potentially </w:t>
      </w:r>
      <w:r w:rsidR="00ED1A00">
        <w:t xml:space="preserve">improve </w:t>
      </w:r>
      <w:r>
        <w:t>the measurement capacity, however, separating UE’s SRS transmissions on different comb offsets, subbands and time occasions should provide sufficient capacity as wideband measurement are likely not required.</w:t>
      </w:r>
    </w:p>
    <w:p w14:paraId="4FD080F7" w14:textId="493E8222" w:rsidR="00FA3554" w:rsidRDefault="00FA3554" w:rsidP="003C59FC">
      <w:pPr>
        <w:pStyle w:val="Observation"/>
      </w:pPr>
      <w:bookmarkStart w:id="19" w:name="_Toc534997513"/>
      <w:r>
        <w:t xml:space="preserve">The benefits of higher measurement accuracy and ability to resolve </w:t>
      </w:r>
      <w:proofErr w:type="spellStart"/>
      <w:r>
        <w:t>CDMed</w:t>
      </w:r>
      <w:proofErr w:type="spellEnd"/>
      <w:r>
        <w:t xml:space="preserve"> sequences provided by RSRP over RSSI measurements are not necessary for CLI mitigation purpose</w:t>
      </w:r>
      <w:bookmarkEnd w:id="19"/>
    </w:p>
    <w:p w14:paraId="7DA36288" w14:textId="69F61AD6" w:rsidR="00033D52" w:rsidRDefault="008A7CD0" w:rsidP="009A1BF8">
      <w:r>
        <w:t>SRS-</w:t>
      </w:r>
      <w:r w:rsidR="009A1BF8">
        <w:t>RSRP measurement</w:t>
      </w:r>
      <w:r>
        <w:t xml:space="preserve">s further have other issues that need to be resolved. In order to </w:t>
      </w:r>
      <w:r w:rsidR="00155922">
        <w:t xml:space="preserve">accurately measure RSRP, the </w:t>
      </w:r>
      <w:r w:rsidR="009A1BF8">
        <w:t>transmitter and receiver</w:t>
      </w:r>
      <w:r w:rsidR="00155922">
        <w:t xml:space="preserve"> need to b</w:t>
      </w:r>
      <w:r w:rsidR="00921D4F">
        <w:t xml:space="preserve">e sufficiently synchronized. As the TA of the UE transmitting SRS is aligned to the uplink frame of its serving cell, and not a potential victim UEs DL frame timing, the TA of the SRS transmission for CLI measurement purpose needs to be adjusted which may not be feasible. On the other hand, being a bit off in the frame timing when performing RSSI measurements is not </w:t>
      </w:r>
      <w:r w:rsidR="00033D52">
        <w:t>detrimental</w:t>
      </w:r>
      <w:r w:rsidR="00921D4F">
        <w:t xml:space="preserve">. </w:t>
      </w:r>
    </w:p>
    <w:p w14:paraId="7BC1BE87" w14:textId="2170660D" w:rsidR="009A1BF8" w:rsidRDefault="00033D52" w:rsidP="001E239C">
      <w:pPr>
        <w:pStyle w:val="Observation"/>
      </w:pPr>
      <w:bookmarkStart w:id="20" w:name="_Toc534997514"/>
      <w:r>
        <w:t>RSRP measurements require SRS TA adjustment</w:t>
      </w:r>
      <w:bookmarkEnd w:id="20"/>
    </w:p>
    <w:p w14:paraId="3C5A5467" w14:textId="3A69DD1C" w:rsidR="00033D52" w:rsidRDefault="00033D52" w:rsidP="003C59FC">
      <w:r>
        <w:t>Based on this discussion, we propose that if after proper evaluation</w:t>
      </w:r>
      <w:r w:rsidR="00ED1A00">
        <w:t>,</w:t>
      </w:r>
      <w:r>
        <w:t xml:space="preserve"> </w:t>
      </w:r>
      <w:r w:rsidR="00ED1A00">
        <w:t xml:space="preserve">it </w:t>
      </w:r>
      <w:r>
        <w:t>is determined that CLI measurement for UE-level differentiation is needed, RSSI measurement</w:t>
      </w:r>
      <w:r w:rsidR="00ED1A00">
        <w:t>s</w:t>
      </w:r>
      <w:r>
        <w:t xml:space="preserve"> are adopted and RSRP measurements are not supported. Note that an RSSI measurement resource that spans only a subset of REs in frequency domain can be defined, in order to match SRS transmission RE pattern, e.g. defined by subband measurement bandwidth and comb size and offset. </w:t>
      </w:r>
    </w:p>
    <w:p w14:paraId="23C20DA9" w14:textId="0A5448E0" w:rsidR="00033D52" w:rsidRDefault="00033D52" w:rsidP="001E239C">
      <w:pPr>
        <w:pStyle w:val="Observation"/>
      </w:pPr>
      <w:bookmarkStart w:id="21" w:name="_Toc534997515"/>
      <w:r>
        <w:lastRenderedPageBreak/>
        <w:t>An RSSI measurement resource in frequency domain spanning a subband measurement bandwidth and comb size and offset could be defined to enable UE-level differentiation</w:t>
      </w:r>
      <w:bookmarkEnd w:id="21"/>
    </w:p>
    <w:p w14:paraId="7CA25801" w14:textId="47F035AD" w:rsidR="00033D52" w:rsidRDefault="00033D52" w:rsidP="003C59FC">
      <w:r>
        <w:t>Another issue is how</w:t>
      </w:r>
      <w:r w:rsidR="003C59FC">
        <w:t xml:space="preserve"> to report the RSSI measurements, if introduced. Two options can be considered, either to have the measurements reported on L1, in which case they could be a new type of CSI report and the CSI framework mechanism can be reused, or, L3 reporting can be considered where the RSSI measurements are reported similar to mobility measurement reports which could be either periodic or event-driven. As both victim UEs and aggressor UEs typically move around in the cell, it is not clear that L3 type of report is fast enough. Therefore, L1 reporting is preferred.</w:t>
      </w:r>
    </w:p>
    <w:p w14:paraId="6547FF12" w14:textId="0C20CAC6" w:rsidR="003C59FC" w:rsidRDefault="003C59FC" w:rsidP="001E239C">
      <w:pPr>
        <w:pStyle w:val="Proposal"/>
      </w:pPr>
      <w:bookmarkStart w:id="22" w:name="_Toc534997520"/>
      <w:r>
        <w:t>If UE-level differentiation for CLI measurements is needed, consider RSSI based report with frequency domain measurement resource defined using subband measurement bandwidth, comb-size and comb offset, reported on L1 as a type of CSI report</w:t>
      </w:r>
      <w:bookmarkEnd w:id="22"/>
    </w:p>
    <w:p w14:paraId="50389041" w14:textId="66278815" w:rsidR="00033D52" w:rsidRDefault="00033D52" w:rsidP="003C59FC"/>
    <w:p w14:paraId="159C8B36" w14:textId="002A71AB" w:rsidR="00CB1F16" w:rsidRDefault="00CB1F16" w:rsidP="003C59FC"/>
    <w:p w14:paraId="77575AAD" w14:textId="6D3E8978" w:rsidR="00CB1F16" w:rsidRDefault="00CB1F16" w:rsidP="003C59FC"/>
    <w:p w14:paraId="132CBB1B" w14:textId="3612ADB0" w:rsidR="00CB1F16" w:rsidRDefault="00CB1F16" w:rsidP="003C59FC"/>
    <w:p w14:paraId="059DF93B" w14:textId="186EFA11" w:rsidR="00CB1F16" w:rsidRDefault="00CB1F16" w:rsidP="003C59FC"/>
    <w:p w14:paraId="747C2967" w14:textId="5A4D3C58" w:rsidR="00CB1F16" w:rsidRDefault="00CB1F16" w:rsidP="003C59FC"/>
    <w:p w14:paraId="6010D369" w14:textId="008B3C04" w:rsidR="00CB1F16" w:rsidRDefault="00CB1F16" w:rsidP="003C59FC"/>
    <w:p w14:paraId="788A02E6" w14:textId="619E1A27" w:rsidR="00CB1F16" w:rsidRDefault="00CB1F16" w:rsidP="003C59FC"/>
    <w:p w14:paraId="095E456E" w14:textId="009A38B9" w:rsidR="00CB1F16" w:rsidRDefault="00CB1F16" w:rsidP="003C59FC"/>
    <w:p w14:paraId="377EC7AE" w14:textId="15BF3A14" w:rsidR="00CB1F16" w:rsidRDefault="00CB1F16" w:rsidP="003C59FC"/>
    <w:p w14:paraId="6423C45D" w14:textId="4B311F57" w:rsidR="00CB1F16" w:rsidRDefault="00CB1F16" w:rsidP="003C59FC"/>
    <w:p w14:paraId="368C3A9A" w14:textId="3CB0F24C" w:rsidR="00CB1F16" w:rsidRDefault="00CB1F16" w:rsidP="003C59FC"/>
    <w:p w14:paraId="6B4C2AF8" w14:textId="6419525E" w:rsidR="00CB1F16" w:rsidRDefault="00CB1F16" w:rsidP="003C59FC"/>
    <w:p w14:paraId="3A79DE1B" w14:textId="704A723F" w:rsidR="00CB1F16" w:rsidRDefault="00CB1F16" w:rsidP="003C59FC"/>
    <w:p w14:paraId="730DBCD1" w14:textId="71118759" w:rsidR="00CB1F16" w:rsidRDefault="00CB1F16" w:rsidP="003C59FC"/>
    <w:p w14:paraId="4882510D" w14:textId="4A6C32F8" w:rsidR="00CB1F16" w:rsidRDefault="00CB1F16" w:rsidP="003C59FC"/>
    <w:p w14:paraId="33EC265E" w14:textId="0588A890" w:rsidR="00CB1F16" w:rsidRDefault="00CB1F16" w:rsidP="003C59FC"/>
    <w:p w14:paraId="66B74991" w14:textId="208E34CA" w:rsidR="00CB1F16" w:rsidRDefault="00CB1F16" w:rsidP="003C59FC"/>
    <w:p w14:paraId="0A8BFF8E" w14:textId="37D799B7" w:rsidR="00CB1F16" w:rsidRDefault="00CB1F16" w:rsidP="003C59FC"/>
    <w:p w14:paraId="6530E4FC" w14:textId="1FCD79C8" w:rsidR="00CB1F16" w:rsidRDefault="00CB1F16" w:rsidP="003C59FC"/>
    <w:p w14:paraId="28C5A627" w14:textId="4183FE5C" w:rsidR="00CB1F16" w:rsidRDefault="00CB1F16" w:rsidP="003C59FC"/>
    <w:p w14:paraId="7FC1E13D" w14:textId="4BEAEED9" w:rsidR="00CB1F16" w:rsidRDefault="00CB1F16" w:rsidP="003C59FC"/>
    <w:p w14:paraId="0ED9E742" w14:textId="58897C15" w:rsidR="00CB1F16" w:rsidRDefault="00CB1F16" w:rsidP="003C59FC"/>
    <w:p w14:paraId="2D6A18CE" w14:textId="5A46753F" w:rsidR="00CB1F16" w:rsidRDefault="00CB1F16" w:rsidP="003C59FC"/>
    <w:p w14:paraId="5C0CC6A1" w14:textId="712CF909" w:rsidR="00CB1F16" w:rsidRDefault="00CB1F16" w:rsidP="003C59FC"/>
    <w:p w14:paraId="655AB359" w14:textId="77777777" w:rsidR="00CB1F16" w:rsidRDefault="00CB1F16" w:rsidP="003C59FC"/>
    <w:p w14:paraId="0EC0E72D" w14:textId="788A15E3" w:rsidR="00C22138" w:rsidRDefault="00AD5FA7" w:rsidP="00C22138">
      <w:pPr>
        <w:pStyle w:val="Heading1"/>
        <w:rPr>
          <w:lang w:val="en-US"/>
        </w:rPr>
      </w:pPr>
      <w:r>
        <w:rPr>
          <w:lang w:val="en-US"/>
        </w:rPr>
        <w:lastRenderedPageBreak/>
        <w:t xml:space="preserve">Conclusion </w:t>
      </w:r>
    </w:p>
    <w:p w14:paraId="3CFD0188" w14:textId="07DBE445" w:rsidR="00FC7433" w:rsidRDefault="003C59FC" w:rsidP="005336DB">
      <w:r>
        <w:t>In this contribution we have discussed UE-to-UE CLI measurements.</w:t>
      </w:r>
    </w:p>
    <w:p w14:paraId="3041F76E" w14:textId="6DBDF7FF" w:rsidR="00517215" w:rsidRDefault="00517215" w:rsidP="005336DB"/>
    <w:p w14:paraId="0E117570" w14:textId="78E4D27E" w:rsidR="00BF01F0" w:rsidRDefault="00517215">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534997502" w:history="1">
        <w:r w:rsidR="00BF01F0" w:rsidRPr="00537141">
          <w:rPr>
            <w:rStyle w:val="Hyperlink"/>
          </w:rPr>
          <w:t>Observation 1</w:t>
        </w:r>
        <w:r w:rsidR="00BF01F0">
          <w:rPr>
            <w:rFonts w:asciiTheme="minorHAnsi" w:eastAsiaTheme="minorEastAsia" w:hAnsiTheme="minorHAnsi" w:cstheme="minorBidi"/>
            <w:b w:val="0"/>
            <w:sz w:val="22"/>
            <w:lang w:val="sv-SE" w:eastAsia="sv-SE"/>
          </w:rPr>
          <w:tab/>
        </w:r>
        <w:r w:rsidR="00BF01F0" w:rsidRPr="00537141">
          <w:rPr>
            <w:rStyle w:val="Hyperlink"/>
          </w:rPr>
          <w:t>Any agreements reached on CLI measurements in the downprioritized 2017 work was made in context to an under-developed NR standard. Therefore, these agreements do should not carry through to Rel-16 and should be used as a starting point for discussion only.</w:t>
        </w:r>
      </w:hyperlink>
    </w:p>
    <w:p w14:paraId="4ED306D4" w14:textId="368D0DD9" w:rsidR="00BF01F0" w:rsidRDefault="00BF01F0">
      <w:pPr>
        <w:pStyle w:val="TOC1"/>
        <w:rPr>
          <w:rFonts w:asciiTheme="minorHAnsi" w:eastAsiaTheme="minorEastAsia" w:hAnsiTheme="minorHAnsi" w:cstheme="minorBidi"/>
          <w:b w:val="0"/>
          <w:sz w:val="22"/>
          <w:lang w:val="sv-SE" w:eastAsia="sv-SE"/>
        </w:rPr>
      </w:pPr>
      <w:hyperlink w:anchor="_Toc534997503" w:history="1">
        <w:r w:rsidRPr="00537141">
          <w:rPr>
            <w:rStyle w:val="Hyperlink"/>
          </w:rPr>
          <w:t>Observation 2</w:t>
        </w:r>
        <w:r>
          <w:rPr>
            <w:rFonts w:asciiTheme="minorHAnsi" w:eastAsiaTheme="minorEastAsia" w:hAnsiTheme="minorHAnsi" w:cstheme="minorBidi"/>
            <w:b w:val="0"/>
            <w:sz w:val="22"/>
            <w:lang w:val="sv-SE" w:eastAsia="sv-SE"/>
          </w:rPr>
          <w:tab/>
        </w:r>
        <w:r w:rsidRPr="00537141">
          <w:rPr>
            <w:rStyle w:val="Hyperlink"/>
          </w:rPr>
          <w:t>UE-to-UE interference can potentially be detrimental for a victim UE if some neighbouring aggressor UEs are in close proximity to the victim UE, due to near-far effect</w:t>
        </w:r>
      </w:hyperlink>
    </w:p>
    <w:p w14:paraId="10B9D540" w14:textId="60BFF539" w:rsidR="00BF01F0" w:rsidRDefault="00BF01F0">
      <w:pPr>
        <w:pStyle w:val="TOC1"/>
        <w:rPr>
          <w:rFonts w:asciiTheme="minorHAnsi" w:eastAsiaTheme="minorEastAsia" w:hAnsiTheme="minorHAnsi" w:cstheme="minorBidi"/>
          <w:b w:val="0"/>
          <w:sz w:val="22"/>
          <w:lang w:val="sv-SE" w:eastAsia="sv-SE"/>
        </w:rPr>
      </w:pPr>
      <w:hyperlink w:anchor="_Toc534997504" w:history="1">
        <w:r w:rsidRPr="00537141">
          <w:rPr>
            <w:rStyle w:val="Hyperlink"/>
          </w:rPr>
          <w:t>Observation 3</w:t>
        </w:r>
        <w:r>
          <w:rPr>
            <w:rFonts w:asciiTheme="minorHAnsi" w:eastAsiaTheme="minorEastAsia" w:hAnsiTheme="minorHAnsi" w:cstheme="minorBidi"/>
            <w:b w:val="0"/>
            <w:sz w:val="22"/>
            <w:lang w:val="sv-SE" w:eastAsia="sv-SE"/>
          </w:rPr>
          <w:tab/>
        </w:r>
        <w:r w:rsidRPr="00537141">
          <w:rPr>
            <w:rStyle w:val="Hyperlink"/>
          </w:rPr>
          <w:t>UE-level CLI measurement is associated with a large signalling overhead and a high measurement complexity, and it requires a complex joint scheduler implementation to be effectively utilized</w:t>
        </w:r>
      </w:hyperlink>
    </w:p>
    <w:p w14:paraId="4436B0BF" w14:textId="1C680EB8" w:rsidR="00BF01F0" w:rsidRDefault="00BF01F0">
      <w:pPr>
        <w:pStyle w:val="TOC1"/>
        <w:rPr>
          <w:rFonts w:asciiTheme="minorHAnsi" w:eastAsiaTheme="minorEastAsia" w:hAnsiTheme="minorHAnsi" w:cstheme="minorBidi"/>
          <w:b w:val="0"/>
          <w:sz w:val="22"/>
          <w:lang w:val="sv-SE" w:eastAsia="sv-SE"/>
        </w:rPr>
      </w:pPr>
      <w:hyperlink w:anchor="_Toc534997505" w:history="1">
        <w:r w:rsidRPr="00537141">
          <w:rPr>
            <w:rStyle w:val="Hyperlink"/>
          </w:rPr>
          <w:t>Observation 4</w:t>
        </w:r>
        <w:r>
          <w:rPr>
            <w:rFonts w:asciiTheme="minorHAnsi" w:eastAsiaTheme="minorEastAsia" w:hAnsiTheme="minorHAnsi" w:cstheme="minorBidi"/>
            <w:b w:val="0"/>
            <w:sz w:val="22"/>
            <w:lang w:val="sv-SE" w:eastAsia="sv-SE"/>
          </w:rPr>
          <w:tab/>
        </w:r>
        <w:r w:rsidRPr="00537141">
          <w:rPr>
            <w:rStyle w:val="Hyperlink"/>
          </w:rPr>
          <w:t>Cell/slot-level interference avoidance schemes does not require joint scheduling and requires only a small amount of measurement resources</w:t>
        </w:r>
      </w:hyperlink>
    </w:p>
    <w:p w14:paraId="01276795" w14:textId="05BD00BD" w:rsidR="00BF01F0" w:rsidRDefault="00BF01F0">
      <w:pPr>
        <w:pStyle w:val="TOC1"/>
        <w:rPr>
          <w:rFonts w:asciiTheme="minorHAnsi" w:eastAsiaTheme="minorEastAsia" w:hAnsiTheme="minorHAnsi" w:cstheme="minorBidi"/>
          <w:b w:val="0"/>
          <w:sz w:val="22"/>
          <w:lang w:val="sv-SE" w:eastAsia="sv-SE"/>
        </w:rPr>
      </w:pPr>
      <w:hyperlink w:anchor="_Toc534997506" w:history="1">
        <w:r w:rsidRPr="00537141">
          <w:rPr>
            <w:rStyle w:val="Hyperlink"/>
          </w:rPr>
          <w:t>Observation 5</w:t>
        </w:r>
        <w:r>
          <w:rPr>
            <w:rFonts w:asciiTheme="minorHAnsi" w:eastAsiaTheme="minorEastAsia" w:hAnsiTheme="minorHAnsi" w:cstheme="minorBidi"/>
            <w:b w:val="0"/>
            <w:sz w:val="22"/>
            <w:lang w:val="sv-SE" w:eastAsia="sv-SE"/>
          </w:rPr>
          <w:tab/>
        </w:r>
        <w:r w:rsidRPr="00537141">
          <w:rPr>
            <w:rStyle w:val="Hyperlink"/>
          </w:rPr>
          <w:t>It can be beneficial if the UE-to-UE CLI measurements enable improved link adaptation</w:t>
        </w:r>
      </w:hyperlink>
    </w:p>
    <w:p w14:paraId="5FBD6A96" w14:textId="1C9263BF" w:rsidR="00BF01F0" w:rsidRDefault="00BF01F0">
      <w:pPr>
        <w:pStyle w:val="TOC1"/>
        <w:rPr>
          <w:rFonts w:asciiTheme="minorHAnsi" w:eastAsiaTheme="minorEastAsia" w:hAnsiTheme="minorHAnsi" w:cstheme="minorBidi"/>
          <w:b w:val="0"/>
          <w:sz w:val="22"/>
          <w:lang w:val="sv-SE" w:eastAsia="sv-SE"/>
        </w:rPr>
      </w:pPr>
      <w:hyperlink w:anchor="_Toc534997507" w:history="1">
        <w:r w:rsidRPr="00537141">
          <w:rPr>
            <w:rStyle w:val="Hyperlink"/>
          </w:rPr>
          <w:t>Observation 6</w:t>
        </w:r>
        <w:r>
          <w:rPr>
            <w:rFonts w:asciiTheme="minorHAnsi" w:eastAsiaTheme="minorEastAsia" w:hAnsiTheme="minorHAnsi" w:cstheme="minorBidi"/>
            <w:b w:val="0"/>
            <w:sz w:val="22"/>
            <w:lang w:val="sv-SE" w:eastAsia="sv-SE"/>
          </w:rPr>
          <w:tab/>
        </w:r>
        <w:r w:rsidRPr="00537141">
          <w:rPr>
            <w:rStyle w:val="Hyperlink"/>
          </w:rPr>
          <w:t>It can be beneficial if adjacent channel CLI can be captured by the UE-to-UE CLI measurements</w:t>
        </w:r>
      </w:hyperlink>
    </w:p>
    <w:p w14:paraId="00AEE3D3" w14:textId="7F543C0D" w:rsidR="00BF01F0" w:rsidRDefault="00BF01F0">
      <w:pPr>
        <w:pStyle w:val="TOC1"/>
        <w:rPr>
          <w:rFonts w:asciiTheme="minorHAnsi" w:eastAsiaTheme="minorEastAsia" w:hAnsiTheme="minorHAnsi" w:cstheme="minorBidi"/>
          <w:b w:val="0"/>
          <w:sz w:val="22"/>
          <w:lang w:val="sv-SE" w:eastAsia="sv-SE"/>
        </w:rPr>
      </w:pPr>
      <w:hyperlink w:anchor="_Toc534997508" w:history="1">
        <w:r w:rsidRPr="00537141">
          <w:rPr>
            <w:rStyle w:val="Hyperlink"/>
          </w:rPr>
          <w:t>Observation 7</w:t>
        </w:r>
        <w:r>
          <w:rPr>
            <w:rFonts w:asciiTheme="minorHAnsi" w:eastAsiaTheme="minorEastAsia" w:hAnsiTheme="minorHAnsi" w:cstheme="minorBidi"/>
            <w:b w:val="0"/>
            <w:sz w:val="22"/>
            <w:lang w:val="sv-SE" w:eastAsia="sv-SE"/>
          </w:rPr>
          <w:tab/>
        </w:r>
        <w:r w:rsidRPr="00537141">
          <w:rPr>
            <w:rStyle w:val="Hyperlink"/>
          </w:rPr>
          <w:t>Existing CQI report is a form of cell/slot-level UE-to-UE CLI measurement and should be considered the baseline scheme for any enhancement proposal</w:t>
        </w:r>
      </w:hyperlink>
    </w:p>
    <w:p w14:paraId="5066C0BC" w14:textId="13612E36" w:rsidR="00BF01F0" w:rsidRDefault="00BF01F0">
      <w:pPr>
        <w:pStyle w:val="TOC1"/>
        <w:rPr>
          <w:rFonts w:asciiTheme="minorHAnsi" w:eastAsiaTheme="minorEastAsia" w:hAnsiTheme="minorHAnsi" w:cstheme="minorBidi"/>
          <w:b w:val="0"/>
          <w:sz w:val="22"/>
          <w:lang w:val="sv-SE" w:eastAsia="sv-SE"/>
        </w:rPr>
      </w:pPr>
      <w:hyperlink w:anchor="_Toc534997509" w:history="1">
        <w:r w:rsidRPr="00537141">
          <w:rPr>
            <w:rStyle w:val="Hyperlink"/>
          </w:rPr>
          <w:t>Observation 8</w:t>
        </w:r>
        <w:r>
          <w:rPr>
            <w:rFonts w:asciiTheme="minorHAnsi" w:eastAsiaTheme="minorEastAsia" w:hAnsiTheme="minorHAnsi" w:cstheme="minorBidi"/>
            <w:b w:val="0"/>
            <w:sz w:val="22"/>
            <w:lang w:val="sv-SE" w:eastAsia="sv-SE"/>
          </w:rPr>
          <w:tab/>
        </w:r>
        <w:r w:rsidRPr="00537141">
          <w:rPr>
            <w:rStyle w:val="Hyperlink"/>
          </w:rPr>
          <w:t>Utilizing multiple Rel-15 CQI reports for UE-to-UE interference measurements suffers from CSI payload repetition and limited UE capability in supported number of configured CSI Report Settings</w:t>
        </w:r>
      </w:hyperlink>
    </w:p>
    <w:p w14:paraId="10FCD726" w14:textId="52730B53" w:rsidR="00BF01F0" w:rsidRDefault="00BF01F0">
      <w:pPr>
        <w:pStyle w:val="TOC1"/>
        <w:rPr>
          <w:rFonts w:asciiTheme="minorHAnsi" w:eastAsiaTheme="minorEastAsia" w:hAnsiTheme="minorHAnsi" w:cstheme="minorBidi"/>
          <w:b w:val="0"/>
          <w:sz w:val="22"/>
          <w:lang w:val="sv-SE" w:eastAsia="sv-SE"/>
        </w:rPr>
      </w:pPr>
      <w:hyperlink w:anchor="_Toc534997510" w:history="1">
        <w:r w:rsidRPr="00537141">
          <w:rPr>
            <w:rStyle w:val="Hyperlink"/>
          </w:rPr>
          <w:t>Observation 9</w:t>
        </w:r>
        <w:r>
          <w:rPr>
            <w:rFonts w:asciiTheme="minorHAnsi" w:eastAsiaTheme="minorEastAsia" w:hAnsiTheme="minorHAnsi" w:cstheme="minorBidi"/>
            <w:b w:val="0"/>
            <w:sz w:val="22"/>
            <w:lang w:val="sv-SE" w:eastAsia="sv-SE"/>
          </w:rPr>
          <w:tab/>
        </w:r>
        <w:r w:rsidRPr="00537141">
          <w:rPr>
            <w:rStyle w:val="Hyperlink"/>
          </w:rPr>
          <w:t>A simple enhanced multi-IMR CQI report can enable cell/slot-level CLI interference measurements with very limited spec impact.</w:t>
        </w:r>
      </w:hyperlink>
    </w:p>
    <w:p w14:paraId="4ED68C7E" w14:textId="18907D12" w:rsidR="00BF01F0" w:rsidRDefault="00BF01F0">
      <w:pPr>
        <w:pStyle w:val="TOC1"/>
        <w:rPr>
          <w:rFonts w:asciiTheme="minorHAnsi" w:eastAsiaTheme="minorEastAsia" w:hAnsiTheme="minorHAnsi" w:cstheme="minorBidi"/>
          <w:b w:val="0"/>
          <w:sz w:val="22"/>
          <w:lang w:val="sv-SE" w:eastAsia="sv-SE"/>
        </w:rPr>
      </w:pPr>
      <w:hyperlink w:anchor="_Toc534997511" w:history="1">
        <w:r w:rsidRPr="00537141">
          <w:rPr>
            <w:rStyle w:val="Hyperlink"/>
          </w:rPr>
          <w:t>Observation 10</w:t>
        </w:r>
        <w:r>
          <w:rPr>
            <w:rFonts w:asciiTheme="minorHAnsi" w:eastAsiaTheme="minorEastAsia" w:hAnsiTheme="minorHAnsi" w:cstheme="minorBidi"/>
            <w:b w:val="0"/>
            <w:sz w:val="22"/>
            <w:lang w:val="sv-SE" w:eastAsia="sv-SE"/>
          </w:rPr>
          <w:tab/>
        </w:r>
        <w:r w:rsidRPr="00537141">
          <w:rPr>
            <w:rStyle w:val="Hyperlink"/>
          </w:rPr>
          <w:t>RSSI measurements are more general than RSRP measurements and can capture both SRS and PUSCH interference as well as adjacent channel interference</w:t>
        </w:r>
      </w:hyperlink>
    </w:p>
    <w:p w14:paraId="17D8A6C0" w14:textId="759DCEEB" w:rsidR="00BF01F0" w:rsidRDefault="00BF01F0">
      <w:pPr>
        <w:pStyle w:val="TOC1"/>
        <w:rPr>
          <w:rFonts w:asciiTheme="minorHAnsi" w:eastAsiaTheme="minorEastAsia" w:hAnsiTheme="minorHAnsi" w:cstheme="minorBidi"/>
          <w:b w:val="0"/>
          <w:sz w:val="22"/>
          <w:lang w:val="sv-SE" w:eastAsia="sv-SE"/>
        </w:rPr>
      </w:pPr>
      <w:hyperlink w:anchor="_Toc534997512" w:history="1">
        <w:r w:rsidRPr="00537141">
          <w:rPr>
            <w:rStyle w:val="Hyperlink"/>
          </w:rPr>
          <w:t>Observation 11</w:t>
        </w:r>
        <w:r>
          <w:rPr>
            <w:rFonts w:asciiTheme="minorHAnsi" w:eastAsiaTheme="minorEastAsia" w:hAnsiTheme="minorHAnsi" w:cstheme="minorBidi"/>
            <w:b w:val="0"/>
            <w:sz w:val="22"/>
            <w:lang w:val="sv-SE" w:eastAsia="sv-SE"/>
          </w:rPr>
          <w:tab/>
        </w:r>
        <w:r w:rsidRPr="00537141">
          <w:rPr>
            <w:rStyle w:val="Hyperlink"/>
          </w:rPr>
          <w:t>RSRP measurements require significantly more communication between gNB and UE, as well as between TRPs, compared to RSSI measurements</w:t>
        </w:r>
      </w:hyperlink>
    </w:p>
    <w:p w14:paraId="6D81D995" w14:textId="2E8BA0A3" w:rsidR="00BF01F0" w:rsidRDefault="00BF01F0">
      <w:pPr>
        <w:pStyle w:val="TOC1"/>
        <w:rPr>
          <w:rFonts w:asciiTheme="minorHAnsi" w:eastAsiaTheme="minorEastAsia" w:hAnsiTheme="minorHAnsi" w:cstheme="minorBidi"/>
          <w:b w:val="0"/>
          <w:sz w:val="22"/>
          <w:lang w:val="sv-SE" w:eastAsia="sv-SE"/>
        </w:rPr>
      </w:pPr>
      <w:hyperlink w:anchor="_Toc534997513" w:history="1">
        <w:r w:rsidRPr="00537141">
          <w:rPr>
            <w:rStyle w:val="Hyperlink"/>
          </w:rPr>
          <w:t>Observation 12</w:t>
        </w:r>
        <w:r>
          <w:rPr>
            <w:rFonts w:asciiTheme="minorHAnsi" w:eastAsiaTheme="minorEastAsia" w:hAnsiTheme="minorHAnsi" w:cstheme="minorBidi"/>
            <w:b w:val="0"/>
            <w:sz w:val="22"/>
            <w:lang w:val="sv-SE" w:eastAsia="sv-SE"/>
          </w:rPr>
          <w:tab/>
        </w:r>
        <w:r w:rsidRPr="00537141">
          <w:rPr>
            <w:rStyle w:val="Hyperlink"/>
          </w:rPr>
          <w:t>The benefits of higher measurement accuracy and ability to resolve CDMed sequences provided by RSRP over RSSI measurements are not necessary for CLI mitigation purpose</w:t>
        </w:r>
      </w:hyperlink>
    </w:p>
    <w:p w14:paraId="29850E0F" w14:textId="7C4CAAA6" w:rsidR="00BF01F0" w:rsidRDefault="00BF01F0">
      <w:pPr>
        <w:pStyle w:val="TOC1"/>
        <w:rPr>
          <w:rFonts w:asciiTheme="minorHAnsi" w:eastAsiaTheme="minorEastAsia" w:hAnsiTheme="minorHAnsi" w:cstheme="minorBidi"/>
          <w:b w:val="0"/>
          <w:sz w:val="22"/>
          <w:lang w:val="sv-SE" w:eastAsia="sv-SE"/>
        </w:rPr>
      </w:pPr>
      <w:hyperlink w:anchor="_Toc534997514" w:history="1">
        <w:r w:rsidRPr="00537141">
          <w:rPr>
            <w:rStyle w:val="Hyperlink"/>
          </w:rPr>
          <w:t>Observation 13</w:t>
        </w:r>
        <w:r>
          <w:rPr>
            <w:rFonts w:asciiTheme="minorHAnsi" w:eastAsiaTheme="minorEastAsia" w:hAnsiTheme="minorHAnsi" w:cstheme="minorBidi"/>
            <w:b w:val="0"/>
            <w:sz w:val="22"/>
            <w:lang w:val="sv-SE" w:eastAsia="sv-SE"/>
          </w:rPr>
          <w:tab/>
        </w:r>
        <w:r w:rsidRPr="00537141">
          <w:rPr>
            <w:rStyle w:val="Hyperlink"/>
          </w:rPr>
          <w:t>RSRP measurements require SRS TA adjustment</w:t>
        </w:r>
      </w:hyperlink>
    </w:p>
    <w:p w14:paraId="707922B3" w14:textId="1E660BF2" w:rsidR="00BF01F0" w:rsidRDefault="00BF01F0">
      <w:pPr>
        <w:pStyle w:val="TOC1"/>
        <w:rPr>
          <w:rFonts w:asciiTheme="minorHAnsi" w:eastAsiaTheme="minorEastAsia" w:hAnsiTheme="minorHAnsi" w:cstheme="minorBidi"/>
          <w:b w:val="0"/>
          <w:sz w:val="22"/>
          <w:lang w:val="sv-SE" w:eastAsia="sv-SE"/>
        </w:rPr>
      </w:pPr>
      <w:hyperlink w:anchor="_Toc534997515" w:history="1">
        <w:r w:rsidRPr="00537141">
          <w:rPr>
            <w:rStyle w:val="Hyperlink"/>
          </w:rPr>
          <w:t>Observation 14</w:t>
        </w:r>
        <w:r>
          <w:rPr>
            <w:rFonts w:asciiTheme="minorHAnsi" w:eastAsiaTheme="minorEastAsia" w:hAnsiTheme="minorHAnsi" w:cstheme="minorBidi"/>
            <w:b w:val="0"/>
            <w:sz w:val="22"/>
            <w:lang w:val="sv-SE" w:eastAsia="sv-SE"/>
          </w:rPr>
          <w:tab/>
        </w:r>
        <w:r w:rsidRPr="00537141">
          <w:rPr>
            <w:rStyle w:val="Hyperlink"/>
          </w:rPr>
          <w:t>An RSSI measurement resource in frequency domain spanning a subband measurement bandwidth and comb size and offset could be defined to enable UE-level differentiation</w:t>
        </w:r>
      </w:hyperlink>
    </w:p>
    <w:p w14:paraId="5999A3E0" w14:textId="47511EA5" w:rsidR="00FC7433" w:rsidRDefault="00517215" w:rsidP="005336DB">
      <w:pPr>
        <w:rPr>
          <w:highlight w:val="yellow"/>
        </w:rPr>
      </w:pPr>
      <w:r>
        <w:rPr>
          <w:noProof/>
          <w:szCs w:val="22"/>
          <w:highlight w:val="yellow"/>
          <w:lang w:val="en-US"/>
        </w:rPr>
        <w:fldChar w:fldCharType="end"/>
      </w:r>
    </w:p>
    <w:bookmarkStart w:id="23" w:name="_Hlk533167434"/>
    <w:p w14:paraId="087367DD" w14:textId="77777777" w:rsidR="00BF01F0" w:rsidRDefault="00FC7433">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534997516" w:history="1">
        <w:r w:rsidR="00BF01F0" w:rsidRPr="002422B0">
          <w:rPr>
            <w:rStyle w:val="Hyperlink"/>
          </w:rPr>
          <w:t>Proposal 1</w:t>
        </w:r>
        <w:r w:rsidR="00BF01F0">
          <w:rPr>
            <w:rFonts w:asciiTheme="minorHAnsi" w:eastAsiaTheme="minorEastAsia" w:hAnsiTheme="minorHAnsi" w:cstheme="minorBidi"/>
            <w:b w:val="0"/>
            <w:sz w:val="22"/>
            <w:lang w:val="sv-SE" w:eastAsia="sv-SE"/>
          </w:rPr>
          <w:tab/>
        </w:r>
        <w:r w:rsidR="00BF01F0" w:rsidRPr="002422B0">
          <w:rPr>
            <w:rStyle w:val="Hyperlink"/>
          </w:rPr>
          <w:t>Focus on introducing CLI measurements which enable cell/slot-level CLI mitigation schemes</w:t>
        </w:r>
      </w:hyperlink>
    </w:p>
    <w:p w14:paraId="4E642DDA" w14:textId="0F7AB436" w:rsidR="00BF01F0" w:rsidRDefault="00BF01F0">
      <w:pPr>
        <w:pStyle w:val="TOC1"/>
        <w:rPr>
          <w:rStyle w:val="Hyperlink"/>
        </w:rPr>
      </w:pPr>
      <w:hyperlink w:anchor="_Toc534997517" w:history="1">
        <w:r w:rsidRPr="002422B0">
          <w:rPr>
            <w:rStyle w:val="Hyperlink"/>
          </w:rPr>
          <w:t>Proposal 2</w:t>
        </w:r>
      </w:hyperlink>
    </w:p>
    <w:p w14:paraId="13C1A8F6" w14:textId="77777777" w:rsidR="00BF01F0" w:rsidRPr="001E239C" w:rsidRDefault="00BF01F0" w:rsidP="00BF01F0">
      <w:pPr>
        <w:pStyle w:val="ListParagraph"/>
        <w:numPr>
          <w:ilvl w:val="0"/>
          <w:numId w:val="15"/>
        </w:numPr>
        <w:rPr>
          <w:b/>
        </w:rPr>
      </w:pPr>
      <w:r w:rsidRPr="001E239C">
        <w:rPr>
          <w:b/>
        </w:rPr>
        <w:t>To enable cell/slot-level CLI mitigation schemes, introduce</w:t>
      </w:r>
      <w:r>
        <w:rPr>
          <w:b/>
        </w:rPr>
        <w:t xml:space="preserve"> a new</w:t>
      </w:r>
      <w:r w:rsidRPr="001E239C">
        <w:rPr>
          <w:b/>
        </w:rPr>
        <w:t xml:space="preserve"> </w:t>
      </w:r>
      <w:r>
        <w:rPr>
          <w:b/>
        </w:rPr>
        <w:t>“</w:t>
      </w:r>
      <w:r w:rsidRPr="001E239C">
        <w:rPr>
          <w:b/>
        </w:rPr>
        <w:t>multi-IMR CQI</w:t>
      </w:r>
      <w:r>
        <w:rPr>
          <w:b/>
        </w:rPr>
        <w:t>”</w:t>
      </w:r>
      <w:r w:rsidRPr="001E239C">
        <w:rPr>
          <w:b/>
        </w:rPr>
        <w:t xml:space="preserve"> </w:t>
      </w:r>
      <w:r>
        <w:rPr>
          <w:b/>
        </w:rPr>
        <w:t xml:space="preserve">CSI </w:t>
      </w:r>
      <w:r w:rsidRPr="001E239C">
        <w:rPr>
          <w:b/>
        </w:rPr>
        <w:t>report</w:t>
      </w:r>
      <w:r>
        <w:rPr>
          <w:b/>
        </w:rPr>
        <w:t xml:space="preserve"> quantity:</w:t>
      </w:r>
    </w:p>
    <w:p w14:paraId="077B9972" w14:textId="77777777" w:rsidR="00BF01F0" w:rsidRDefault="00BF01F0" w:rsidP="00BF01F0">
      <w:pPr>
        <w:pStyle w:val="ListParagraph"/>
        <w:numPr>
          <w:ilvl w:val="1"/>
          <w:numId w:val="15"/>
        </w:numPr>
        <w:rPr>
          <w:b/>
        </w:rPr>
      </w:pPr>
      <w:r>
        <w:rPr>
          <w:b/>
        </w:rPr>
        <w:t xml:space="preserve">A CSI Report Setting is linked with a Resource Setting for IM containing a CSI-IM resource set with </w:t>
      </w:r>
      <w:r w:rsidRPr="001E239C">
        <w:rPr>
          <w:b/>
          <w:i/>
        </w:rPr>
        <w:t>N</w:t>
      </w:r>
      <w:r>
        <w:rPr>
          <w:b/>
        </w:rPr>
        <w:t xml:space="preserve"> resources</w:t>
      </w:r>
    </w:p>
    <w:p w14:paraId="2BBA671C" w14:textId="77777777" w:rsidR="00BF01F0" w:rsidRDefault="00BF01F0" w:rsidP="00BF01F0">
      <w:pPr>
        <w:pStyle w:val="ListParagraph"/>
        <w:numPr>
          <w:ilvl w:val="1"/>
          <w:numId w:val="15"/>
        </w:numPr>
        <w:rPr>
          <w:b/>
        </w:rPr>
      </w:pPr>
      <w:r>
        <w:rPr>
          <w:b/>
        </w:rPr>
        <w:t>A CSI Report Setting is linked with a Resource Setting for CM containing a NZP CSI-RS resource set with a single CSI-RS resource</w:t>
      </w:r>
    </w:p>
    <w:p w14:paraId="29125598" w14:textId="77777777" w:rsidR="00BF01F0" w:rsidRDefault="00BF01F0" w:rsidP="00BF01F0">
      <w:pPr>
        <w:pStyle w:val="ListParagraph"/>
        <w:numPr>
          <w:ilvl w:val="1"/>
          <w:numId w:val="15"/>
        </w:numPr>
        <w:rPr>
          <w:b/>
        </w:rPr>
      </w:pPr>
      <w:r>
        <w:rPr>
          <w:b/>
        </w:rPr>
        <w:lastRenderedPageBreak/>
        <w:t>A single PMI/RI is calculated conditioned on the single CSI-RS resource and a reference CSI-IM resource</w:t>
      </w:r>
    </w:p>
    <w:p w14:paraId="3F6A7971" w14:textId="77777777" w:rsidR="00BF01F0" w:rsidRPr="001E239C" w:rsidRDefault="00BF01F0" w:rsidP="00BF01F0">
      <w:pPr>
        <w:pStyle w:val="ListParagraph"/>
        <w:numPr>
          <w:ilvl w:val="1"/>
          <w:numId w:val="15"/>
        </w:numPr>
        <w:rPr>
          <w:b/>
          <w:i/>
        </w:rPr>
      </w:pPr>
      <w:r w:rsidRPr="00BF01F0">
        <w:rPr>
          <w:b/>
        </w:rPr>
        <w:t>A</w:t>
      </w:r>
      <w:r>
        <w:rPr>
          <w:b/>
          <w:i/>
        </w:rPr>
        <w:t xml:space="preserve"> </w:t>
      </w:r>
      <w:r>
        <w:rPr>
          <w:b/>
        </w:rPr>
        <w:t xml:space="preserve">set of </w:t>
      </w:r>
      <w:proofErr w:type="gramStart"/>
      <w:r w:rsidRPr="001E239C">
        <w:rPr>
          <w:b/>
          <w:i/>
        </w:rPr>
        <w:t>N</w:t>
      </w:r>
      <w:proofErr w:type="gramEnd"/>
      <w:r>
        <w:rPr>
          <w:b/>
        </w:rPr>
        <w:t xml:space="preserve"> CQIs are calculated, with each CQI corresponding to its associated CSI-IM resource</w:t>
      </w:r>
    </w:p>
    <w:p w14:paraId="71603AEE" w14:textId="77777777" w:rsidR="00BF01F0" w:rsidRPr="00BF01F0" w:rsidRDefault="00BF01F0">
      <w:pPr>
        <w:pStyle w:val="TOC1"/>
        <w:rPr>
          <w:rFonts w:asciiTheme="minorHAnsi" w:eastAsiaTheme="minorEastAsia" w:hAnsiTheme="minorHAnsi" w:cstheme="minorBidi"/>
          <w:b w:val="0"/>
          <w:sz w:val="22"/>
          <w:lang w:val="en-GB" w:eastAsia="sv-SE"/>
        </w:rPr>
      </w:pPr>
      <w:bookmarkStart w:id="24" w:name="_GoBack"/>
      <w:bookmarkEnd w:id="24"/>
    </w:p>
    <w:p w14:paraId="743FD03F" w14:textId="77777777" w:rsidR="00BF01F0" w:rsidRDefault="00BF01F0">
      <w:pPr>
        <w:pStyle w:val="TOC1"/>
        <w:rPr>
          <w:rFonts w:asciiTheme="minorHAnsi" w:eastAsiaTheme="minorEastAsia" w:hAnsiTheme="minorHAnsi" w:cstheme="minorBidi"/>
          <w:b w:val="0"/>
          <w:sz w:val="22"/>
          <w:lang w:val="sv-SE" w:eastAsia="sv-SE"/>
        </w:rPr>
      </w:pPr>
      <w:hyperlink w:anchor="_Toc534997518" w:history="1">
        <w:r w:rsidRPr="002422B0">
          <w:rPr>
            <w:rStyle w:val="Hyperlink"/>
          </w:rPr>
          <w:t>Proposal 3</w:t>
        </w:r>
        <w:r>
          <w:rPr>
            <w:rFonts w:asciiTheme="minorHAnsi" w:eastAsiaTheme="minorEastAsia" w:hAnsiTheme="minorHAnsi" w:cstheme="minorBidi"/>
            <w:b w:val="0"/>
            <w:sz w:val="22"/>
            <w:lang w:val="sv-SE" w:eastAsia="sv-SE"/>
          </w:rPr>
          <w:tab/>
        </w:r>
        <w:r w:rsidRPr="002422B0">
          <w:rPr>
            <w:rStyle w:val="Hyperlink"/>
          </w:rPr>
          <w:t>Cell-level RSSI measurement for adjacent channel measurement with the report carried on L3 can additionally be considered</w:t>
        </w:r>
      </w:hyperlink>
    </w:p>
    <w:p w14:paraId="4F24E8BD" w14:textId="77777777" w:rsidR="00BF01F0" w:rsidRDefault="00BF01F0">
      <w:pPr>
        <w:pStyle w:val="TOC1"/>
        <w:rPr>
          <w:rFonts w:asciiTheme="minorHAnsi" w:eastAsiaTheme="minorEastAsia" w:hAnsiTheme="minorHAnsi" w:cstheme="minorBidi"/>
          <w:b w:val="0"/>
          <w:sz w:val="22"/>
          <w:lang w:val="sv-SE" w:eastAsia="sv-SE"/>
        </w:rPr>
      </w:pPr>
      <w:hyperlink w:anchor="_Toc534997519" w:history="1">
        <w:r w:rsidRPr="002422B0">
          <w:rPr>
            <w:rStyle w:val="Hyperlink"/>
          </w:rPr>
          <w:t>Proposal 4</w:t>
        </w:r>
        <w:r>
          <w:rPr>
            <w:rFonts w:asciiTheme="minorHAnsi" w:eastAsiaTheme="minorEastAsia" w:hAnsiTheme="minorHAnsi" w:cstheme="minorBidi"/>
            <w:b w:val="0"/>
            <w:sz w:val="22"/>
            <w:lang w:val="sv-SE" w:eastAsia="sv-SE"/>
          </w:rPr>
          <w:tab/>
        </w:r>
        <w:r w:rsidRPr="002422B0">
          <w:rPr>
            <w:rStyle w:val="Hyperlink"/>
          </w:rPr>
          <w:t>Decide if CLI measurements with UE-level differentiation is needed based on evaluations of realistic performance of UE-level granularity CLI mitigation schemes, taking into account implementation complexity and measurement overhead</w:t>
        </w:r>
      </w:hyperlink>
    </w:p>
    <w:p w14:paraId="56016B35" w14:textId="77777777" w:rsidR="00BF01F0" w:rsidRDefault="00BF01F0">
      <w:pPr>
        <w:pStyle w:val="TOC1"/>
        <w:rPr>
          <w:rFonts w:asciiTheme="minorHAnsi" w:eastAsiaTheme="minorEastAsia" w:hAnsiTheme="minorHAnsi" w:cstheme="minorBidi"/>
          <w:b w:val="0"/>
          <w:sz w:val="22"/>
          <w:lang w:val="sv-SE" w:eastAsia="sv-SE"/>
        </w:rPr>
      </w:pPr>
      <w:hyperlink w:anchor="_Toc534997520" w:history="1">
        <w:r w:rsidRPr="002422B0">
          <w:rPr>
            <w:rStyle w:val="Hyperlink"/>
          </w:rPr>
          <w:t>Proposal 5</w:t>
        </w:r>
        <w:r>
          <w:rPr>
            <w:rFonts w:asciiTheme="minorHAnsi" w:eastAsiaTheme="minorEastAsia" w:hAnsiTheme="minorHAnsi" w:cstheme="minorBidi"/>
            <w:b w:val="0"/>
            <w:sz w:val="22"/>
            <w:lang w:val="sv-SE" w:eastAsia="sv-SE"/>
          </w:rPr>
          <w:tab/>
        </w:r>
        <w:r w:rsidRPr="002422B0">
          <w:rPr>
            <w:rStyle w:val="Hyperlink"/>
          </w:rPr>
          <w:t>If UE-level differentiation for CLI measurements is needed, consider RSSI based report with frequency domain measurement resource defined using subband measurement bandwidth, comb-size and comb offset, reported on L1 as a type of CSI report</w:t>
        </w:r>
      </w:hyperlink>
    </w:p>
    <w:p w14:paraId="4F34FAFD" w14:textId="506687C5" w:rsidR="005704AC" w:rsidRPr="002D7B37" w:rsidRDefault="00FC7433" w:rsidP="005336DB">
      <w:pPr>
        <w:rPr>
          <w:lang w:val="en-US"/>
        </w:rPr>
      </w:pPr>
      <w:r>
        <w:rPr>
          <w:highlight w:val="yellow"/>
        </w:rPr>
        <w:fldChar w:fldCharType="end"/>
      </w:r>
      <w:bookmarkEnd w:id="23"/>
    </w:p>
    <w:p w14:paraId="0DEF49B4" w14:textId="7F840ECB" w:rsidR="0045141A" w:rsidRDefault="0026523C" w:rsidP="0026523C">
      <w:pPr>
        <w:pStyle w:val="Heading1"/>
      </w:pPr>
      <w:r>
        <w:t>References</w:t>
      </w:r>
    </w:p>
    <w:p w14:paraId="1EC9B884" w14:textId="1A7D90C3" w:rsidR="006C1AE8" w:rsidRPr="00003362" w:rsidRDefault="00BF01F0" w:rsidP="00E74601">
      <w:pPr>
        <w:pStyle w:val="Reference"/>
      </w:pPr>
      <w:hyperlink r:id="rId16" w:history="1">
        <w:r w:rsidR="00E74601" w:rsidRPr="00E74601">
          <w:rPr>
            <w:rStyle w:val="Hyperlink"/>
            <w:lang w:eastAsia="x-none"/>
          </w:rPr>
          <w:t>RP-182864</w:t>
        </w:r>
      </w:hyperlink>
      <w:r w:rsidR="0005092A" w:rsidRPr="00E74601">
        <w:t>, “</w:t>
      </w:r>
      <w:r w:rsidR="00E74601" w:rsidRPr="00E74601">
        <w:rPr>
          <w:rFonts w:eastAsia="SimSun"/>
          <w:kern w:val="2"/>
        </w:rPr>
        <w:t>Revised WID on Cross Link Interference (CLI) handling and Remote Interference Management (RIM) for NR</w:t>
      </w:r>
      <w:r w:rsidR="0005092A" w:rsidRPr="00E74601">
        <w:rPr>
          <w:rFonts w:eastAsia="SimSun"/>
          <w:kern w:val="2"/>
        </w:rPr>
        <w:t xml:space="preserve">”, </w:t>
      </w:r>
      <w:r w:rsidR="00E74601">
        <w:rPr>
          <w:rFonts w:eastAsia="SimSun"/>
          <w:kern w:val="2"/>
        </w:rPr>
        <w:t>LG Electronics</w:t>
      </w:r>
    </w:p>
    <w:p w14:paraId="2B3A2DA0" w14:textId="3D1871B9" w:rsidR="00003362" w:rsidRDefault="00003362" w:rsidP="00003362">
      <w:pPr>
        <w:pStyle w:val="Reference"/>
      </w:pPr>
      <w:r w:rsidRPr="00003362">
        <w:t>TR</w:t>
      </w:r>
      <w:r w:rsidR="00C21202">
        <w:t xml:space="preserve"> </w:t>
      </w:r>
      <w:r w:rsidRPr="00003362">
        <w:t>38.802</w:t>
      </w:r>
      <w:r>
        <w:t>, “</w:t>
      </w:r>
      <w:r w:rsidR="00C21202">
        <w:t>Study on new radio access technology Physical layer aspects”</w:t>
      </w:r>
    </w:p>
    <w:p w14:paraId="6DCFADD5" w14:textId="7B0146DF" w:rsidR="00477ECC" w:rsidRPr="00E74601" w:rsidRDefault="00477ECC" w:rsidP="00D04705">
      <w:pPr>
        <w:pStyle w:val="Reference"/>
      </w:pPr>
      <w:r w:rsidRPr="00477ECC">
        <w:t>R1-1900764</w:t>
      </w:r>
      <w:r>
        <w:t>, “</w:t>
      </w:r>
      <w:r w:rsidRPr="00477ECC">
        <w:t>Evaluation results for CLI mitigation schemes</w:t>
      </w:r>
      <w:r>
        <w:t>”, Ericsson, 3GPP TSG RAN WG1 Meeting Ad-Hoc Meeting 1901, Taipei, Taiwan, 21st-25th January 2019</w:t>
      </w:r>
    </w:p>
    <w:p w14:paraId="53F5097C" w14:textId="77777777" w:rsidR="002919CD" w:rsidRPr="0005092A" w:rsidRDefault="002919CD" w:rsidP="00175052">
      <w:pPr>
        <w:pStyle w:val="Reference"/>
        <w:numPr>
          <w:ilvl w:val="0"/>
          <w:numId w:val="0"/>
        </w:numPr>
      </w:pPr>
    </w:p>
    <w:sectPr w:rsidR="002919CD" w:rsidRPr="0005092A"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06AC8" w14:textId="77777777" w:rsidR="00E4619B" w:rsidRDefault="00E4619B">
      <w:r>
        <w:separator/>
      </w:r>
    </w:p>
  </w:endnote>
  <w:endnote w:type="continuationSeparator" w:id="0">
    <w:p w14:paraId="0CC34D25" w14:textId="77777777" w:rsidR="00E4619B" w:rsidRDefault="00E4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3C59FC" w:rsidRDefault="003C59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58D1" w14:textId="77777777" w:rsidR="00E4619B" w:rsidRDefault="00E4619B">
      <w:r>
        <w:separator/>
      </w:r>
    </w:p>
  </w:footnote>
  <w:footnote w:type="continuationSeparator" w:id="0">
    <w:p w14:paraId="53402A34" w14:textId="77777777" w:rsidR="00E4619B" w:rsidRDefault="00E46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3C59FC" w:rsidRDefault="003C59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57EA34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5551ED"/>
    <w:multiLevelType w:val="hybridMultilevel"/>
    <w:tmpl w:val="65D4D58A"/>
    <w:lvl w:ilvl="0" w:tplc="6792A68A">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F41A88"/>
    <w:multiLevelType w:val="hybridMultilevel"/>
    <w:tmpl w:val="C5B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7"/>
  </w:num>
  <w:num w:numId="5">
    <w:abstractNumId w:val="3"/>
  </w:num>
  <w:num w:numId="6">
    <w:abstractNumId w:val="9"/>
  </w:num>
  <w:num w:numId="7">
    <w:abstractNumId w:val="13"/>
  </w:num>
  <w:num w:numId="8">
    <w:abstractNumId w:val="4"/>
  </w:num>
  <w:num w:numId="9">
    <w:abstractNumId w:val="12"/>
  </w:num>
  <w:num w:numId="10">
    <w:abstractNumId w:val="5"/>
  </w:num>
  <w:num w:numId="11">
    <w:abstractNumId w:val="14"/>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8"/>
  </w:num>
  <w:num w:numId="16">
    <w:abstractNumId w:val="16"/>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3D52"/>
    <w:rsid w:val="00034521"/>
    <w:rsid w:val="00034C15"/>
    <w:rsid w:val="000357E6"/>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1C8D"/>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5D1"/>
    <w:rsid w:val="000738D2"/>
    <w:rsid w:val="0007398C"/>
    <w:rsid w:val="000741A9"/>
    <w:rsid w:val="00074BEA"/>
    <w:rsid w:val="000753A5"/>
    <w:rsid w:val="000772CA"/>
    <w:rsid w:val="00077E5F"/>
    <w:rsid w:val="0008036A"/>
    <w:rsid w:val="00081AE6"/>
    <w:rsid w:val="00081EEA"/>
    <w:rsid w:val="00082BCB"/>
    <w:rsid w:val="00083A4F"/>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016A"/>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5978"/>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3862"/>
    <w:rsid w:val="00145654"/>
    <w:rsid w:val="00146A8C"/>
    <w:rsid w:val="00146A8F"/>
    <w:rsid w:val="00151734"/>
    <w:rsid w:val="00151E23"/>
    <w:rsid w:val="001526E0"/>
    <w:rsid w:val="0015373E"/>
    <w:rsid w:val="00154707"/>
    <w:rsid w:val="001551B5"/>
    <w:rsid w:val="001557F8"/>
    <w:rsid w:val="00155922"/>
    <w:rsid w:val="001561AC"/>
    <w:rsid w:val="001578B2"/>
    <w:rsid w:val="00161351"/>
    <w:rsid w:val="00162339"/>
    <w:rsid w:val="001625FC"/>
    <w:rsid w:val="0016289D"/>
    <w:rsid w:val="00162F87"/>
    <w:rsid w:val="001636EC"/>
    <w:rsid w:val="0016384B"/>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38EB"/>
    <w:rsid w:val="001843F7"/>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39C"/>
    <w:rsid w:val="001E2560"/>
    <w:rsid w:val="001E3B2B"/>
    <w:rsid w:val="001E3BCD"/>
    <w:rsid w:val="001E5176"/>
    <w:rsid w:val="001E58E2"/>
    <w:rsid w:val="001E633E"/>
    <w:rsid w:val="001E7AED"/>
    <w:rsid w:val="001F06E2"/>
    <w:rsid w:val="001F15AB"/>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2F9B"/>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3C7"/>
    <w:rsid w:val="002D5A9A"/>
    <w:rsid w:val="002D645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A6E"/>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3B5D"/>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5C96"/>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59FC"/>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A14"/>
    <w:rsid w:val="003F1C23"/>
    <w:rsid w:val="003F2CD4"/>
    <w:rsid w:val="003F304B"/>
    <w:rsid w:val="003F362C"/>
    <w:rsid w:val="003F3705"/>
    <w:rsid w:val="003F428A"/>
    <w:rsid w:val="003F4499"/>
    <w:rsid w:val="003F5163"/>
    <w:rsid w:val="003F51FA"/>
    <w:rsid w:val="003F6BBE"/>
    <w:rsid w:val="003F6F56"/>
    <w:rsid w:val="003F738A"/>
    <w:rsid w:val="004000E8"/>
    <w:rsid w:val="00400881"/>
    <w:rsid w:val="004014F6"/>
    <w:rsid w:val="00402348"/>
    <w:rsid w:val="004028B2"/>
    <w:rsid w:val="00402DF3"/>
    <w:rsid w:val="00402E2B"/>
    <w:rsid w:val="004031FC"/>
    <w:rsid w:val="004033B5"/>
    <w:rsid w:val="004034B0"/>
    <w:rsid w:val="004037D7"/>
    <w:rsid w:val="0040397B"/>
    <w:rsid w:val="00403D6A"/>
    <w:rsid w:val="004050EA"/>
    <w:rsid w:val="0040512B"/>
    <w:rsid w:val="00405B7A"/>
    <w:rsid w:val="00405CA5"/>
    <w:rsid w:val="00406B06"/>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3F68"/>
    <w:rsid w:val="00444F56"/>
    <w:rsid w:val="00446488"/>
    <w:rsid w:val="004469DC"/>
    <w:rsid w:val="0044723D"/>
    <w:rsid w:val="0044746B"/>
    <w:rsid w:val="00447699"/>
    <w:rsid w:val="00447DE1"/>
    <w:rsid w:val="0045020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296"/>
    <w:rsid w:val="0047556B"/>
    <w:rsid w:val="00475DD4"/>
    <w:rsid w:val="00476C25"/>
    <w:rsid w:val="00477768"/>
    <w:rsid w:val="00477AF2"/>
    <w:rsid w:val="00477B73"/>
    <w:rsid w:val="00477ECC"/>
    <w:rsid w:val="00481584"/>
    <w:rsid w:val="00481B5C"/>
    <w:rsid w:val="00483C1D"/>
    <w:rsid w:val="00485FFC"/>
    <w:rsid w:val="00490A9C"/>
    <w:rsid w:val="00491011"/>
    <w:rsid w:val="00492BC5"/>
    <w:rsid w:val="00492D24"/>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4E5"/>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215"/>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062"/>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76B"/>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7F0"/>
    <w:rsid w:val="00671B77"/>
    <w:rsid w:val="0067218F"/>
    <w:rsid w:val="00672D95"/>
    <w:rsid w:val="0067401E"/>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4722"/>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01"/>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3E8"/>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4E4"/>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0C5"/>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3EF3"/>
    <w:rsid w:val="00764180"/>
    <w:rsid w:val="00764B57"/>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27C"/>
    <w:rsid w:val="00785490"/>
    <w:rsid w:val="00786A31"/>
    <w:rsid w:val="00790B99"/>
    <w:rsid w:val="00790CD0"/>
    <w:rsid w:val="0079178C"/>
    <w:rsid w:val="00791BBB"/>
    <w:rsid w:val="007925EA"/>
    <w:rsid w:val="00792A8F"/>
    <w:rsid w:val="00792FAB"/>
    <w:rsid w:val="00793977"/>
    <w:rsid w:val="00793CD8"/>
    <w:rsid w:val="0079428B"/>
    <w:rsid w:val="00795C92"/>
    <w:rsid w:val="00796231"/>
    <w:rsid w:val="00796317"/>
    <w:rsid w:val="00796573"/>
    <w:rsid w:val="00796B93"/>
    <w:rsid w:val="00796CA9"/>
    <w:rsid w:val="007A1CB3"/>
    <w:rsid w:val="007A2FBF"/>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07E90"/>
    <w:rsid w:val="00810851"/>
    <w:rsid w:val="00810A3F"/>
    <w:rsid w:val="008112E8"/>
    <w:rsid w:val="00811B55"/>
    <w:rsid w:val="00811BBF"/>
    <w:rsid w:val="00811FCB"/>
    <w:rsid w:val="0081200F"/>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27F3E"/>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A7CD0"/>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2B3"/>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1D4F"/>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76F"/>
    <w:rsid w:val="00975F5D"/>
    <w:rsid w:val="0097603D"/>
    <w:rsid w:val="00976406"/>
    <w:rsid w:val="00976949"/>
    <w:rsid w:val="009770F2"/>
    <w:rsid w:val="00980092"/>
    <w:rsid w:val="00980321"/>
    <w:rsid w:val="00980477"/>
    <w:rsid w:val="009815E8"/>
    <w:rsid w:val="00982379"/>
    <w:rsid w:val="00982668"/>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1BF8"/>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27F3"/>
    <w:rsid w:val="00A131E7"/>
    <w:rsid w:val="00A1344C"/>
    <w:rsid w:val="00A13E54"/>
    <w:rsid w:val="00A140AD"/>
    <w:rsid w:val="00A14780"/>
    <w:rsid w:val="00A153D5"/>
    <w:rsid w:val="00A15471"/>
    <w:rsid w:val="00A155DA"/>
    <w:rsid w:val="00A15745"/>
    <w:rsid w:val="00A15793"/>
    <w:rsid w:val="00A1614A"/>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06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68E5"/>
    <w:rsid w:val="00A77A66"/>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A695C"/>
    <w:rsid w:val="00AB00BA"/>
    <w:rsid w:val="00AB0392"/>
    <w:rsid w:val="00AB0BC8"/>
    <w:rsid w:val="00AB11CA"/>
    <w:rsid w:val="00AB14D9"/>
    <w:rsid w:val="00AB2BDB"/>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37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01C"/>
    <w:rsid w:val="00B2763F"/>
    <w:rsid w:val="00B279B0"/>
    <w:rsid w:val="00B27AAC"/>
    <w:rsid w:val="00B30929"/>
    <w:rsid w:val="00B31806"/>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6616"/>
    <w:rsid w:val="00B97C74"/>
    <w:rsid w:val="00BA165A"/>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01F0"/>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12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2BF1"/>
    <w:rsid w:val="00C4445A"/>
    <w:rsid w:val="00C4451C"/>
    <w:rsid w:val="00C46718"/>
    <w:rsid w:val="00C46B05"/>
    <w:rsid w:val="00C4762D"/>
    <w:rsid w:val="00C47E05"/>
    <w:rsid w:val="00C47FAC"/>
    <w:rsid w:val="00C506C1"/>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16"/>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42FC"/>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A48"/>
    <w:rsid w:val="00CE1CEE"/>
    <w:rsid w:val="00CE33DE"/>
    <w:rsid w:val="00CE540B"/>
    <w:rsid w:val="00CE6E59"/>
    <w:rsid w:val="00CE7561"/>
    <w:rsid w:val="00CE7CC5"/>
    <w:rsid w:val="00CF0299"/>
    <w:rsid w:val="00CF1354"/>
    <w:rsid w:val="00CF13FB"/>
    <w:rsid w:val="00CF19F5"/>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2FB2"/>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95CE1"/>
    <w:rsid w:val="00DA04FC"/>
    <w:rsid w:val="00DA0F2F"/>
    <w:rsid w:val="00DA1CF0"/>
    <w:rsid w:val="00DA2184"/>
    <w:rsid w:val="00DA24D7"/>
    <w:rsid w:val="00DA305E"/>
    <w:rsid w:val="00DA3C72"/>
    <w:rsid w:val="00DA4203"/>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078E"/>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19B"/>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2AED"/>
    <w:rsid w:val="00E63838"/>
    <w:rsid w:val="00E63D05"/>
    <w:rsid w:val="00E64434"/>
    <w:rsid w:val="00E64B80"/>
    <w:rsid w:val="00E652A0"/>
    <w:rsid w:val="00E6582A"/>
    <w:rsid w:val="00E67C51"/>
    <w:rsid w:val="00E707F9"/>
    <w:rsid w:val="00E709FB"/>
    <w:rsid w:val="00E716C2"/>
    <w:rsid w:val="00E72284"/>
    <w:rsid w:val="00E72EFC"/>
    <w:rsid w:val="00E73828"/>
    <w:rsid w:val="00E74601"/>
    <w:rsid w:val="00E74D51"/>
    <w:rsid w:val="00E7523A"/>
    <w:rsid w:val="00E758EC"/>
    <w:rsid w:val="00E76E65"/>
    <w:rsid w:val="00E779B0"/>
    <w:rsid w:val="00E77F4A"/>
    <w:rsid w:val="00E80840"/>
    <w:rsid w:val="00E80B4C"/>
    <w:rsid w:val="00E8234C"/>
    <w:rsid w:val="00E82911"/>
    <w:rsid w:val="00E83AA9"/>
    <w:rsid w:val="00E84714"/>
    <w:rsid w:val="00E851F9"/>
    <w:rsid w:val="00E85626"/>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4B"/>
    <w:rsid w:val="00EC46E3"/>
    <w:rsid w:val="00EC5653"/>
    <w:rsid w:val="00EC6255"/>
    <w:rsid w:val="00EC62A9"/>
    <w:rsid w:val="00EC6431"/>
    <w:rsid w:val="00EC71CE"/>
    <w:rsid w:val="00EC71D3"/>
    <w:rsid w:val="00EC77A7"/>
    <w:rsid w:val="00ED0270"/>
    <w:rsid w:val="00ED04E1"/>
    <w:rsid w:val="00ED1006"/>
    <w:rsid w:val="00ED1A00"/>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866"/>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198A"/>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09F7"/>
    <w:rsid w:val="00FA1717"/>
    <w:rsid w:val="00FA1970"/>
    <w:rsid w:val="00FA204A"/>
    <w:rsid w:val="00FA2BB3"/>
    <w:rsid w:val="00FA2C57"/>
    <w:rsid w:val="00FA3554"/>
    <w:rsid w:val="00FA362C"/>
    <w:rsid w:val="00FA38C1"/>
    <w:rsid w:val="00FA3BB7"/>
    <w:rsid w:val="00FA3DBC"/>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2/Docs/RP-18286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08b2df90-05d3-4030-90d4-c9feeb4a1cd9"/>
    <ds:schemaRef ds:uri="http://schemas.openxmlformats.org/package/2006/metadata/core-properties"/>
    <ds:schemaRef ds:uri="7789c8df-cd92-43c1-8a83-195dbc0f0a0a"/>
    <ds:schemaRef ds:uri="http://www.w3.org/XML/1998/namespace"/>
    <ds:schemaRef ds:uri="http://purl.org/dc/dcmitype/"/>
  </ds:schemaRefs>
</ds:datastoreItem>
</file>

<file path=customXml/itemProps6.xml><?xml version="1.0" encoding="utf-8"?>
<ds:datastoreItem xmlns:ds="http://schemas.openxmlformats.org/officeDocument/2006/customXml" ds:itemID="{D02579BC-8225-4B3F-B77B-37FFA042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750</TotalTime>
  <Pages>10</Pages>
  <Words>4716</Words>
  <Characters>26656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sebastian.faxer@ericsson.com</dc:creator>
  <cp:keywords>3GPP; Ericsson; TDoc</cp:keywords>
  <cp:lastModifiedBy>Sebastian Faxér</cp:lastModifiedBy>
  <cp:revision>53</cp:revision>
  <cp:lastPrinted>2008-01-31T15:09:00Z</cp:lastPrinted>
  <dcterms:created xsi:type="dcterms:W3CDTF">2018-12-18T12:51:00Z</dcterms:created>
  <dcterms:modified xsi:type="dcterms:W3CDTF">2019-01-11T18:16:00Z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